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2B3AB838" w:rsidR="00333FAA" w:rsidRPr="00587EFA" w:rsidRDefault="00683CE3" w:rsidP="00A53B04">
            <w:pPr>
              <w:rPr>
                <w:rFonts w:cs="Arial"/>
                <w:szCs w:val="24"/>
              </w:rPr>
            </w:pPr>
            <w:r w:rsidRPr="00587EFA">
              <w:rPr>
                <w:rFonts w:cs="Arial"/>
                <w:szCs w:val="24"/>
              </w:rPr>
              <w:t>21</w:t>
            </w:r>
            <w:r w:rsidR="00D474F0" w:rsidRPr="00587EFA">
              <w:rPr>
                <w:rFonts w:cs="Arial"/>
                <w:szCs w:val="24"/>
              </w:rPr>
              <w:t xml:space="preserve"> </w:t>
            </w:r>
            <w:r w:rsidR="0088362A" w:rsidRPr="00587EFA">
              <w:rPr>
                <w:rFonts w:cs="Arial"/>
                <w:szCs w:val="24"/>
              </w:rPr>
              <w:t>October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7604145" w14:textId="77777777" w:rsidR="00333FAA" w:rsidRDefault="005735A8" w:rsidP="00A53B04">
            <w:pPr>
              <w:rPr>
                <w:rFonts w:cs="Arial"/>
                <w:szCs w:val="24"/>
              </w:rPr>
            </w:pPr>
            <w:r w:rsidRPr="005A478E">
              <w:rPr>
                <w:rFonts w:cs="Arial"/>
                <w:szCs w:val="24"/>
              </w:rPr>
              <w:t>Green Home</w:t>
            </w:r>
            <w:r w:rsidR="004F6875" w:rsidRPr="005A478E">
              <w:rPr>
                <w:rFonts w:cs="Arial"/>
                <w:szCs w:val="24"/>
              </w:rPr>
              <w:t>s</w:t>
            </w:r>
            <w:r w:rsidRPr="005A478E">
              <w:rPr>
                <w:rFonts w:cs="Arial"/>
                <w:szCs w:val="24"/>
              </w:rPr>
              <w:t xml:space="preserve"> Grant</w:t>
            </w:r>
            <w:r w:rsidR="005A478E" w:rsidRPr="005A478E">
              <w:rPr>
                <w:rFonts w:cs="Arial"/>
                <w:szCs w:val="24"/>
              </w:rPr>
              <w:t xml:space="preserve"> </w:t>
            </w:r>
            <w:r w:rsidR="002839FF">
              <w:rPr>
                <w:rFonts w:cs="Arial"/>
                <w:szCs w:val="24"/>
              </w:rPr>
              <w:t xml:space="preserve">Scheme </w:t>
            </w:r>
            <w:r w:rsidR="004C571A">
              <w:rPr>
                <w:rFonts w:cs="Arial"/>
                <w:szCs w:val="24"/>
              </w:rPr>
              <w:t xml:space="preserve">– request to </w:t>
            </w:r>
            <w:r w:rsidR="00AA5C15">
              <w:rPr>
                <w:rFonts w:cs="Arial"/>
                <w:szCs w:val="24"/>
              </w:rPr>
              <w:t>utilise grant</w:t>
            </w:r>
            <w:r w:rsidR="004C571A">
              <w:rPr>
                <w:rFonts w:cs="Arial"/>
                <w:szCs w:val="24"/>
              </w:rPr>
              <w:t xml:space="preserve"> funding</w:t>
            </w:r>
            <w:r w:rsidR="00CC38E4">
              <w:rPr>
                <w:rFonts w:cs="Arial"/>
                <w:szCs w:val="24"/>
              </w:rPr>
              <w:t xml:space="preserve"> </w:t>
            </w:r>
            <w:r w:rsidR="00706A60">
              <w:rPr>
                <w:rFonts w:cs="Arial"/>
                <w:szCs w:val="24"/>
              </w:rPr>
              <w:t xml:space="preserve">for </w:t>
            </w:r>
            <w:r w:rsidR="00986BDF">
              <w:rPr>
                <w:rFonts w:cs="Arial"/>
                <w:szCs w:val="24"/>
              </w:rPr>
              <w:t xml:space="preserve">Phase 2 </w:t>
            </w:r>
            <w:r w:rsidR="00816AB5">
              <w:rPr>
                <w:rFonts w:cs="Arial"/>
                <w:szCs w:val="24"/>
              </w:rPr>
              <w:t xml:space="preserve">and </w:t>
            </w:r>
            <w:r w:rsidR="003F1471">
              <w:rPr>
                <w:rFonts w:cs="Arial"/>
                <w:szCs w:val="24"/>
              </w:rPr>
              <w:t xml:space="preserve">future phases </w:t>
            </w:r>
          </w:p>
          <w:p w14:paraId="6D8FB2C1" w14:textId="1138B40E" w:rsidR="00587EFA" w:rsidRPr="007074B3" w:rsidRDefault="00587EFA" w:rsidP="00A53B04">
            <w:pPr>
              <w:rPr>
                <w:rFonts w:cs="Arial"/>
                <w:color w:val="FF0000"/>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4AE49827" w14:textId="0E41464F" w:rsidR="001C7E35" w:rsidRPr="005E3A10" w:rsidRDefault="001C7E35" w:rsidP="005735A8">
            <w:pPr>
              <w:pStyle w:val="Infotext"/>
              <w:rPr>
                <w:rFonts w:cs="Arial"/>
                <w:color w:val="FF0000"/>
                <w:sz w:val="24"/>
                <w:szCs w:val="24"/>
              </w:rPr>
            </w:pPr>
            <w:r w:rsidRPr="005E3A10">
              <w:rPr>
                <w:rFonts w:cs="Arial"/>
                <w:sz w:val="24"/>
                <w:szCs w:val="24"/>
              </w:rPr>
              <w:t xml:space="preserve">Yes </w:t>
            </w:r>
            <w:r w:rsidR="005735A8">
              <w:rPr>
                <w:rFonts w:cs="Arial"/>
                <w:sz w:val="24"/>
                <w:szCs w:val="24"/>
              </w:rPr>
              <w:t xml:space="preserve"> </w:t>
            </w: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A589465" w14:textId="5932E99B" w:rsidR="0028495D" w:rsidRPr="005E3A10" w:rsidRDefault="00706A60" w:rsidP="0028495D">
            <w:pPr>
              <w:pStyle w:val="Infotext"/>
              <w:rPr>
                <w:rFonts w:cs="Arial"/>
                <w:sz w:val="24"/>
                <w:szCs w:val="24"/>
              </w:rPr>
            </w:pPr>
            <w:r>
              <w:rPr>
                <w:rFonts w:cs="Arial"/>
                <w:sz w:val="24"/>
                <w:szCs w:val="24"/>
              </w:rPr>
              <w:t>Julian Higson</w:t>
            </w:r>
            <w:r w:rsidR="00587EFA">
              <w:rPr>
                <w:rFonts w:cs="Arial"/>
                <w:sz w:val="24"/>
                <w:szCs w:val="24"/>
              </w:rPr>
              <w:t xml:space="preserve"> - </w:t>
            </w:r>
            <w:r w:rsidR="0028495D">
              <w:rPr>
                <w:rFonts w:cs="Arial"/>
                <w:sz w:val="24"/>
                <w:szCs w:val="24"/>
              </w:rPr>
              <w:t>Divisional Director of Housing</w:t>
            </w:r>
          </w:p>
          <w:p w14:paraId="3798BF23" w14:textId="77777777" w:rsidR="001C7E35" w:rsidRPr="005E3A10" w:rsidRDefault="001C7E35" w:rsidP="00D835CF">
            <w:pPr>
              <w:pStyle w:val="Infotext"/>
              <w:rPr>
                <w:rFonts w:cs="Arial"/>
                <w:sz w:val="24"/>
                <w:szCs w:val="24"/>
              </w:rPr>
            </w:pPr>
          </w:p>
        </w:tc>
      </w:tr>
      <w:tr w:rsidR="0028495D" w14:paraId="3B6FD8B1" w14:textId="77777777" w:rsidTr="00EB3CF0">
        <w:tc>
          <w:tcPr>
            <w:tcW w:w="3456" w:type="dxa"/>
          </w:tcPr>
          <w:p w14:paraId="0961945D" w14:textId="2396143A" w:rsidR="0028495D" w:rsidRPr="00C13A5F" w:rsidRDefault="0028495D" w:rsidP="0028495D">
            <w:pPr>
              <w:pStyle w:val="Infotext"/>
              <w:spacing w:after="240"/>
              <w:rPr>
                <w:rFonts w:ascii="Arial Black" w:hAnsi="Arial Black"/>
              </w:rPr>
            </w:pPr>
            <w:r w:rsidRPr="00DB6C3D">
              <w:rPr>
                <w:rFonts w:ascii="Arial Black" w:hAnsi="Arial Black"/>
              </w:rPr>
              <w:t>Portfolio Holder</w:t>
            </w:r>
            <w:r w:rsidR="001B070D">
              <w:rPr>
                <w:rFonts w:ascii="Arial Black" w:hAnsi="Arial Black"/>
              </w:rPr>
              <w:t>s</w:t>
            </w:r>
            <w:r w:rsidRPr="00DB6C3D">
              <w:rPr>
                <w:rFonts w:ascii="Arial Black" w:hAnsi="Arial Black"/>
              </w:rPr>
              <w:t>:</w:t>
            </w:r>
          </w:p>
        </w:tc>
        <w:tc>
          <w:tcPr>
            <w:tcW w:w="5054" w:type="dxa"/>
          </w:tcPr>
          <w:p w14:paraId="36EE4B6E" w14:textId="77777777" w:rsidR="0028495D" w:rsidRDefault="0028495D" w:rsidP="0028495D">
            <w:pPr>
              <w:pStyle w:val="Infotext"/>
              <w:rPr>
                <w:rFonts w:cs="Arial"/>
                <w:sz w:val="24"/>
                <w:szCs w:val="24"/>
              </w:rPr>
            </w:pPr>
            <w:r>
              <w:rPr>
                <w:rFonts w:cs="Arial"/>
                <w:sz w:val="24"/>
                <w:szCs w:val="24"/>
              </w:rPr>
              <w:t>Councillor Philip O’Dell</w:t>
            </w:r>
            <w:r w:rsidR="00587EFA">
              <w:rPr>
                <w:rFonts w:cs="Arial"/>
                <w:sz w:val="24"/>
                <w:szCs w:val="24"/>
              </w:rPr>
              <w:t xml:space="preserve"> - </w:t>
            </w:r>
            <w:r>
              <w:rPr>
                <w:rFonts w:cs="Arial"/>
                <w:sz w:val="24"/>
                <w:szCs w:val="24"/>
              </w:rPr>
              <w:t>Portfolio Holder for Housing</w:t>
            </w:r>
            <w:r w:rsidR="00587EFA">
              <w:rPr>
                <w:rFonts w:cs="Arial"/>
                <w:sz w:val="24"/>
                <w:szCs w:val="24"/>
              </w:rPr>
              <w:t xml:space="preserve">; </w:t>
            </w:r>
            <w:r>
              <w:rPr>
                <w:rFonts w:cs="Arial"/>
                <w:sz w:val="24"/>
                <w:szCs w:val="24"/>
              </w:rPr>
              <w:t>Councillor</w:t>
            </w:r>
            <w:r w:rsidR="00587EFA">
              <w:rPr>
                <w:rFonts w:cs="Arial"/>
                <w:sz w:val="24"/>
                <w:szCs w:val="24"/>
              </w:rPr>
              <w:t xml:space="preserve"> Natasha</w:t>
            </w:r>
            <w:r w:rsidR="005563BB">
              <w:rPr>
                <w:rFonts w:cs="Arial"/>
                <w:sz w:val="24"/>
                <w:szCs w:val="24"/>
              </w:rPr>
              <w:t xml:space="preserve"> Proctor</w:t>
            </w:r>
            <w:r w:rsidR="00587EFA">
              <w:rPr>
                <w:rFonts w:cs="Arial"/>
                <w:sz w:val="24"/>
                <w:szCs w:val="24"/>
              </w:rPr>
              <w:t xml:space="preserve"> -</w:t>
            </w:r>
            <w:r>
              <w:rPr>
                <w:rFonts w:cs="Arial"/>
                <w:sz w:val="24"/>
                <w:szCs w:val="24"/>
              </w:rPr>
              <w:t xml:space="preserve"> Portfolio Holder for </w:t>
            </w:r>
            <w:r w:rsidR="00F63408" w:rsidRPr="00F63408">
              <w:rPr>
                <w:rFonts w:cs="Arial"/>
                <w:sz w:val="24"/>
                <w:szCs w:val="24"/>
              </w:rPr>
              <w:t>Finance &amp; Resources</w:t>
            </w:r>
          </w:p>
          <w:p w14:paraId="39A9A01A" w14:textId="3378A8BE" w:rsidR="00587EFA" w:rsidRPr="005E3A10" w:rsidRDefault="00587EFA" w:rsidP="0028495D">
            <w:pPr>
              <w:pStyle w:val="Infotext"/>
              <w:rPr>
                <w:rFonts w:cs="Arial"/>
                <w:color w:val="FF0000"/>
                <w:sz w:val="24"/>
                <w:szCs w:val="24"/>
              </w:rPr>
            </w:pPr>
          </w:p>
        </w:tc>
      </w:tr>
      <w:tr w:rsidR="0028495D" w14:paraId="3CF618C8" w14:textId="77777777" w:rsidTr="00EB3CF0">
        <w:tc>
          <w:tcPr>
            <w:tcW w:w="3456" w:type="dxa"/>
          </w:tcPr>
          <w:p w14:paraId="4CD8D092" w14:textId="77777777" w:rsidR="0028495D" w:rsidRPr="00C13A5F" w:rsidRDefault="0028495D" w:rsidP="0028495D">
            <w:pPr>
              <w:pStyle w:val="Infotext"/>
              <w:spacing w:after="240"/>
              <w:rPr>
                <w:rFonts w:ascii="Arial Black" w:hAnsi="Arial Black"/>
              </w:rPr>
            </w:pPr>
            <w:r w:rsidRPr="00DB6C3D">
              <w:rPr>
                <w:rFonts w:ascii="Arial Black" w:hAnsi="Arial Black"/>
              </w:rPr>
              <w:t>Exempt:</w:t>
            </w:r>
          </w:p>
        </w:tc>
        <w:tc>
          <w:tcPr>
            <w:tcW w:w="5054" w:type="dxa"/>
          </w:tcPr>
          <w:p w14:paraId="34C65BD0" w14:textId="3694FCCF" w:rsidR="0028495D" w:rsidRPr="00D354CD" w:rsidRDefault="0028495D" w:rsidP="0028495D">
            <w:pPr>
              <w:pStyle w:val="Infotext"/>
              <w:rPr>
                <w:rFonts w:cs="Arial"/>
                <w:sz w:val="24"/>
                <w:szCs w:val="24"/>
              </w:rPr>
            </w:pPr>
            <w:r w:rsidRPr="00D354CD">
              <w:rPr>
                <w:rFonts w:cs="Arial"/>
                <w:sz w:val="24"/>
                <w:szCs w:val="24"/>
              </w:rPr>
              <w:t>No</w:t>
            </w:r>
          </w:p>
          <w:p w14:paraId="755E47D1" w14:textId="77777777" w:rsidR="0028495D" w:rsidRPr="00D354CD" w:rsidRDefault="0028495D" w:rsidP="00511E57">
            <w:pPr>
              <w:pStyle w:val="Infotext"/>
              <w:rPr>
                <w:rFonts w:cs="Arial"/>
                <w:color w:val="FF0000"/>
                <w:sz w:val="24"/>
                <w:szCs w:val="24"/>
              </w:rPr>
            </w:pPr>
          </w:p>
        </w:tc>
      </w:tr>
      <w:tr w:rsidR="0028495D" w14:paraId="577CD75A" w14:textId="77777777" w:rsidTr="00EB3CF0">
        <w:tc>
          <w:tcPr>
            <w:tcW w:w="3456" w:type="dxa"/>
          </w:tcPr>
          <w:p w14:paraId="4821943C" w14:textId="77777777" w:rsidR="0028495D" w:rsidRPr="00C13A5F" w:rsidRDefault="0028495D" w:rsidP="0028495D">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8BF8A3A" w:rsidR="0028495D" w:rsidRPr="00D354CD" w:rsidRDefault="0028495D" w:rsidP="00D354CD">
            <w:pPr>
              <w:pStyle w:val="Infotext"/>
              <w:rPr>
                <w:rFonts w:cs="Arial"/>
                <w:szCs w:val="24"/>
              </w:rPr>
            </w:pPr>
            <w:r w:rsidRPr="00D354CD">
              <w:rPr>
                <w:rFonts w:cs="Arial"/>
                <w:sz w:val="24"/>
                <w:szCs w:val="24"/>
              </w:rPr>
              <w:t xml:space="preserve">Yes </w:t>
            </w:r>
          </w:p>
        </w:tc>
      </w:tr>
      <w:tr w:rsidR="0028495D" w14:paraId="7E5497E1" w14:textId="77777777" w:rsidTr="00EB3CF0">
        <w:tc>
          <w:tcPr>
            <w:tcW w:w="3456" w:type="dxa"/>
          </w:tcPr>
          <w:p w14:paraId="6B5E6A6A" w14:textId="77777777" w:rsidR="0028495D" w:rsidRPr="00C13A5F" w:rsidRDefault="0028495D" w:rsidP="0028495D">
            <w:pPr>
              <w:pStyle w:val="Infotext"/>
              <w:spacing w:after="240"/>
              <w:rPr>
                <w:rFonts w:ascii="Arial Black" w:hAnsi="Arial Black" w:cs="Arial"/>
              </w:rPr>
            </w:pPr>
            <w:r>
              <w:rPr>
                <w:rFonts w:ascii="Arial Black" w:hAnsi="Arial Black" w:cs="Arial"/>
              </w:rPr>
              <w:t>Wards affected:</w:t>
            </w:r>
          </w:p>
        </w:tc>
        <w:tc>
          <w:tcPr>
            <w:tcW w:w="5054" w:type="dxa"/>
          </w:tcPr>
          <w:p w14:paraId="52E38AE7" w14:textId="4C85B902" w:rsidR="0028495D" w:rsidRPr="00D354CD" w:rsidRDefault="0028495D" w:rsidP="0028495D">
            <w:pPr>
              <w:rPr>
                <w:rFonts w:cs="Arial"/>
                <w:b/>
                <w:color w:val="FF0000"/>
                <w:szCs w:val="24"/>
              </w:rPr>
            </w:pPr>
            <w:r w:rsidRPr="00D354CD">
              <w:rPr>
                <w:rFonts w:cs="Arial"/>
                <w:szCs w:val="24"/>
              </w:rPr>
              <w:t>All</w:t>
            </w:r>
          </w:p>
        </w:tc>
      </w:tr>
      <w:tr w:rsidR="0028495D" w14:paraId="5F1445BF" w14:textId="77777777" w:rsidTr="00EB3CF0">
        <w:tc>
          <w:tcPr>
            <w:tcW w:w="3456" w:type="dxa"/>
          </w:tcPr>
          <w:p w14:paraId="0E539C63" w14:textId="77777777" w:rsidR="0028495D" w:rsidRPr="00C13A5F" w:rsidRDefault="0028495D" w:rsidP="0028495D">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59382D0F" w:rsidR="0028495D" w:rsidRPr="005E3A10" w:rsidRDefault="008C5256" w:rsidP="0028495D">
            <w:pPr>
              <w:pStyle w:val="Infotext"/>
              <w:rPr>
                <w:color w:val="FF0000"/>
                <w:sz w:val="24"/>
                <w:szCs w:val="24"/>
              </w:rPr>
            </w:pPr>
            <w:r w:rsidRPr="008C5256">
              <w:rPr>
                <w:color w:val="000000" w:themeColor="text1"/>
                <w:sz w:val="24"/>
                <w:szCs w:val="24"/>
              </w:rPr>
              <w:t>None</w:t>
            </w:r>
          </w:p>
        </w:tc>
      </w:tr>
    </w:tbl>
    <w:p w14:paraId="27C48D26" w14:textId="25593A58" w:rsidR="00333FAA" w:rsidRDefault="00333FAA" w:rsidP="00C869F3">
      <w:pPr>
        <w:spacing w:after="480"/>
        <w:rPr>
          <w:rFonts w:cs="Arial"/>
        </w:rPr>
      </w:pPr>
    </w:p>
    <w:p w14:paraId="66B16789" w14:textId="6931B6B0" w:rsidR="00717B6A" w:rsidRDefault="00717B6A" w:rsidP="00C869F3">
      <w:pPr>
        <w:spacing w:after="480"/>
        <w:rPr>
          <w:rFonts w:cs="Arial"/>
        </w:rPr>
      </w:pPr>
    </w:p>
    <w:p w14:paraId="333A73A7" w14:textId="64738EDB" w:rsidR="002839FF" w:rsidRDefault="002839FF" w:rsidP="00C869F3">
      <w:pPr>
        <w:spacing w:after="480"/>
        <w:rPr>
          <w:rFonts w:cs="Arial"/>
        </w:rPr>
      </w:pPr>
    </w:p>
    <w:p w14:paraId="403C4272" w14:textId="62CDF5EA" w:rsidR="002839FF" w:rsidRDefault="002839FF" w:rsidP="00C869F3">
      <w:pPr>
        <w:spacing w:after="480"/>
        <w:rPr>
          <w:rFonts w:cs="Arial"/>
        </w:rPr>
      </w:pPr>
    </w:p>
    <w:p w14:paraId="125FFE6F" w14:textId="07B0956F" w:rsidR="002839FF" w:rsidRDefault="002839FF" w:rsidP="00C869F3">
      <w:pPr>
        <w:spacing w:after="480"/>
        <w:rPr>
          <w:rFonts w:cs="Arial"/>
        </w:rPr>
      </w:pPr>
    </w:p>
    <w:p w14:paraId="1C618424" w14:textId="6417111F" w:rsidR="002839FF" w:rsidRDefault="002839FF" w:rsidP="00C869F3">
      <w:pPr>
        <w:spacing w:after="480"/>
        <w:rPr>
          <w:rFonts w:cs="Arial"/>
        </w:rPr>
      </w:pPr>
    </w:p>
    <w:p w14:paraId="16A886BF" w14:textId="77777777" w:rsidR="002839FF" w:rsidRDefault="002839FF" w:rsidP="00C869F3">
      <w:pPr>
        <w:spacing w:after="480"/>
        <w:rPr>
          <w:rFonts w:cs="Arial"/>
        </w:rPr>
      </w:pPr>
    </w:p>
    <w:tbl>
      <w:tblPr>
        <w:tblpPr w:leftFromText="180" w:rightFromText="180" w:horzAnchor="margin" w:tblpX="-709" w:tblpY="1232"/>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9018"/>
      </w:tblGrid>
      <w:tr w:rsidR="00333FAA" w14:paraId="39320826" w14:textId="77777777" w:rsidTr="00BD1DFE">
        <w:trPr>
          <w:tblHeader/>
        </w:trPr>
        <w:tc>
          <w:tcPr>
            <w:tcW w:w="9018" w:type="dxa"/>
            <w:tcBorders>
              <w:top w:val="nil"/>
              <w:left w:val="nil"/>
              <w:right w:val="nil"/>
            </w:tcBorders>
          </w:tcPr>
          <w:p w14:paraId="3A67BFB3" w14:textId="77777777" w:rsidR="00333FAA" w:rsidRDefault="00333FAA" w:rsidP="00BD1DFE">
            <w:pPr>
              <w:pStyle w:val="Heading2"/>
              <w:spacing w:after="240"/>
            </w:pPr>
            <w:r>
              <w:lastRenderedPageBreak/>
              <w:t>Section 1 – Summary and Recommendations</w:t>
            </w:r>
          </w:p>
        </w:tc>
      </w:tr>
      <w:tr w:rsidR="00333FAA" w14:paraId="5D78E563" w14:textId="77777777" w:rsidTr="00BD1DFE">
        <w:trPr>
          <w:tblHeader/>
        </w:trPr>
        <w:tc>
          <w:tcPr>
            <w:tcW w:w="9018" w:type="dxa"/>
          </w:tcPr>
          <w:p w14:paraId="3CFE60D7" w14:textId="38902039" w:rsidR="00ED5750" w:rsidRDefault="00E65670" w:rsidP="00BD1DFE">
            <w:pPr>
              <w:rPr>
                <w:rFonts w:cs="Arial"/>
              </w:rPr>
            </w:pPr>
            <w:bookmarkStart w:id="0" w:name="_Hlk57824003"/>
            <w:r>
              <w:rPr>
                <w:rFonts w:cs="Arial"/>
                <w:szCs w:val="22"/>
              </w:rPr>
              <w:t>In January 2021 Cabinet approved Harrow</w:t>
            </w:r>
            <w:r w:rsidR="00A07C04">
              <w:rPr>
                <w:rFonts w:cs="Arial"/>
                <w:szCs w:val="22"/>
              </w:rPr>
              <w:t>’</w:t>
            </w:r>
            <w:r>
              <w:rPr>
                <w:rFonts w:cs="Arial"/>
                <w:szCs w:val="22"/>
              </w:rPr>
              <w:t xml:space="preserve">s involvement in the </w:t>
            </w:r>
            <w:r w:rsidRPr="00086F5B">
              <w:rPr>
                <w:rFonts w:cs="Arial"/>
                <w:szCs w:val="22"/>
              </w:rPr>
              <w:t xml:space="preserve">Green Homes Grant </w:t>
            </w:r>
            <w:r>
              <w:rPr>
                <w:rFonts w:cs="Arial"/>
                <w:szCs w:val="22"/>
              </w:rPr>
              <w:t xml:space="preserve">Local Authority Delivery </w:t>
            </w:r>
            <w:r w:rsidR="00587EFA">
              <w:rPr>
                <w:rFonts w:cs="Arial"/>
                <w:szCs w:val="22"/>
              </w:rPr>
              <w:t>Scheme</w:t>
            </w:r>
            <w:r w:rsidR="00934C4B">
              <w:rPr>
                <w:rFonts w:cs="Arial"/>
                <w:szCs w:val="22"/>
              </w:rPr>
              <w:t xml:space="preserve"> </w:t>
            </w:r>
            <w:r>
              <w:rPr>
                <w:rFonts w:cs="Arial"/>
                <w:szCs w:val="22"/>
              </w:rPr>
              <w:t>Phase 1</w:t>
            </w:r>
            <w:r w:rsidR="00ED0219">
              <w:rPr>
                <w:rFonts w:cs="Arial"/>
                <w:szCs w:val="22"/>
              </w:rPr>
              <w:t>a</w:t>
            </w:r>
            <w:r>
              <w:rPr>
                <w:rFonts w:cs="Arial"/>
                <w:szCs w:val="22"/>
              </w:rPr>
              <w:t xml:space="preserve">.  </w:t>
            </w:r>
            <w:r w:rsidRPr="00086F5B">
              <w:rPr>
                <w:rFonts w:cs="Arial"/>
                <w:szCs w:val="22"/>
              </w:rPr>
              <w:t xml:space="preserve"> </w:t>
            </w:r>
            <w:r w:rsidR="00ED5750" w:rsidRPr="00086F5B">
              <w:rPr>
                <w:rFonts w:cs="Arial"/>
                <w:szCs w:val="22"/>
              </w:rPr>
              <w:t xml:space="preserve">Following a successful </w:t>
            </w:r>
            <w:r w:rsidR="00CE3FDB">
              <w:rPr>
                <w:rFonts w:cs="Arial"/>
                <w:szCs w:val="22"/>
              </w:rPr>
              <w:t>consortium</w:t>
            </w:r>
            <w:r w:rsidR="00ED5750" w:rsidRPr="00086F5B">
              <w:rPr>
                <w:rFonts w:cs="Arial"/>
                <w:szCs w:val="22"/>
              </w:rPr>
              <w:t xml:space="preserve"> bid for Green Homes Grant </w:t>
            </w:r>
            <w:r>
              <w:rPr>
                <w:rFonts w:cs="Arial"/>
                <w:szCs w:val="22"/>
              </w:rPr>
              <w:t>P</w:t>
            </w:r>
            <w:r w:rsidR="00ED5750">
              <w:rPr>
                <w:rFonts w:cs="Arial"/>
                <w:szCs w:val="22"/>
              </w:rPr>
              <w:t>hase 2</w:t>
            </w:r>
            <w:r w:rsidR="00ED5750" w:rsidRPr="00086F5B">
              <w:rPr>
                <w:rFonts w:cs="Arial"/>
                <w:szCs w:val="22"/>
              </w:rPr>
              <w:t xml:space="preserve">, this report asks Cabinet for authority to approve the </w:t>
            </w:r>
            <w:r w:rsidR="005769B1">
              <w:rPr>
                <w:rFonts w:cs="Arial"/>
                <w:szCs w:val="22"/>
              </w:rPr>
              <w:t xml:space="preserve">continued </w:t>
            </w:r>
            <w:r w:rsidR="00ED5750" w:rsidRPr="00086F5B">
              <w:rPr>
                <w:rFonts w:cs="Arial"/>
                <w:szCs w:val="22"/>
              </w:rPr>
              <w:t xml:space="preserve">collaboration </w:t>
            </w:r>
            <w:r w:rsidR="005769B1">
              <w:rPr>
                <w:rFonts w:cs="Arial"/>
                <w:szCs w:val="22"/>
              </w:rPr>
              <w:t>by</w:t>
            </w:r>
            <w:r w:rsidR="00582DE3">
              <w:rPr>
                <w:rFonts w:cs="Arial"/>
                <w:szCs w:val="22"/>
              </w:rPr>
              <w:t xml:space="preserve"> </w:t>
            </w:r>
            <w:r w:rsidR="00ED5750" w:rsidRPr="00086F5B">
              <w:rPr>
                <w:rFonts w:cs="Arial"/>
                <w:szCs w:val="22"/>
              </w:rPr>
              <w:t xml:space="preserve">Harrow Council with the </w:t>
            </w:r>
            <w:r w:rsidR="00CE3FDB">
              <w:rPr>
                <w:rFonts w:cs="Arial"/>
                <w:szCs w:val="22"/>
              </w:rPr>
              <w:t>consortium</w:t>
            </w:r>
            <w:r w:rsidR="00ED5750" w:rsidRPr="00086F5B">
              <w:rPr>
                <w:rFonts w:cs="Arial"/>
                <w:szCs w:val="22"/>
              </w:rPr>
              <w:t xml:space="preserve"> partners </w:t>
            </w:r>
            <w:r w:rsidR="005769B1">
              <w:rPr>
                <w:rFonts w:cs="Arial"/>
                <w:szCs w:val="22"/>
              </w:rPr>
              <w:t xml:space="preserve">in order </w:t>
            </w:r>
            <w:r w:rsidR="00ED5750" w:rsidRPr="00086F5B">
              <w:rPr>
                <w:rFonts w:cs="Arial"/>
                <w:szCs w:val="22"/>
              </w:rPr>
              <w:t xml:space="preserve">to </w:t>
            </w:r>
            <w:r w:rsidR="00ED5750" w:rsidRPr="00086F5B">
              <w:rPr>
                <w:szCs w:val="22"/>
              </w:rPr>
              <w:t xml:space="preserve">access </w:t>
            </w:r>
            <w:r w:rsidR="00B01A07">
              <w:rPr>
                <w:szCs w:val="22"/>
              </w:rPr>
              <w:t xml:space="preserve">the </w:t>
            </w:r>
            <w:r w:rsidR="005769B1">
              <w:rPr>
                <w:szCs w:val="22"/>
              </w:rPr>
              <w:t xml:space="preserve">additional </w:t>
            </w:r>
            <w:r w:rsidR="00ED5750" w:rsidRPr="00086F5B">
              <w:rPr>
                <w:szCs w:val="22"/>
              </w:rPr>
              <w:t xml:space="preserve">grant funding and </w:t>
            </w:r>
            <w:r w:rsidR="00B01A07">
              <w:rPr>
                <w:szCs w:val="22"/>
              </w:rPr>
              <w:t>enable fur</w:t>
            </w:r>
            <w:r w:rsidR="00407231">
              <w:rPr>
                <w:szCs w:val="22"/>
              </w:rPr>
              <w:t xml:space="preserve">ther </w:t>
            </w:r>
            <w:r w:rsidR="00B01A07">
              <w:rPr>
                <w:szCs w:val="22"/>
              </w:rPr>
              <w:t xml:space="preserve">retrofit </w:t>
            </w:r>
            <w:r w:rsidR="00ED5750" w:rsidRPr="00086F5B">
              <w:rPr>
                <w:szCs w:val="22"/>
              </w:rPr>
              <w:t xml:space="preserve">works </w:t>
            </w:r>
            <w:r w:rsidR="00407231">
              <w:rPr>
                <w:szCs w:val="22"/>
              </w:rPr>
              <w:t xml:space="preserve">to be </w:t>
            </w:r>
            <w:r w:rsidR="00ED5750" w:rsidRPr="00086F5B">
              <w:rPr>
                <w:szCs w:val="22"/>
              </w:rPr>
              <w:t xml:space="preserve">carried out to </w:t>
            </w:r>
            <w:r w:rsidR="000C4137">
              <w:rPr>
                <w:szCs w:val="22"/>
              </w:rPr>
              <w:t xml:space="preserve">homes </w:t>
            </w:r>
            <w:r w:rsidR="00ED5750" w:rsidRPr="00086F5B">
              <w:rPr>
                <w:szCs w:val="22"/>
              </w:rPr>
              <w:t>within the Borough.</w:t>
            </w:r>
          </w:p>
          <w:p w14:paraId="53125AEA" w14:textId="77777777" w:rsidR="00CE7493" w:rsidRDefault="00CE7493" w:rsidP="00BD1DFE">
            <w:pPr>
              <w:rPr>
                <w:szCs w:val="24"/>
              </w:rPr>
            </w:pPr>
          </w:p>
          <w:p w14:paraId="7B3CA7C1" w14:textId="4145658A" w:rsidR="00ED5750" w:rsidRDefault="00CE7493" w:rsidP="00BD1DFE">
            <w:pPr>
              <w:rPr>
                <w:szCs w:val="24"/>
              </w:rPr>
            </w:pPr>
            <w:r w:rsidRPr="00A83F19">
              <w:rPr>
                <w:szCs w:val="24"/>
              </w:rPr>
              <w:t>Cabinet is requested to</w:t>
            </w:r>
            <w:r>
              <w:rPr>
                <w:szCs w:val="24"/>
              </w:rPr>
              <w:t>:</w:t>
            </w:r>
          </w:p>
          <w:p w14:paraId="1E553B72" w14:textId="77777777" w:rsidR="0072374D" w:rsidRPr="00A83F19" w:rsidRDefault="0072374D" w:rsidP="00BD1DFE">
            <w:pPr>
              <w:rPr>
                <w:rFonts w:cs="Arial"/>
                <w:szCs w:val="24"/>
              </w:rPr>
            </w:pPr>
          </w:p>
          <w:p w14:paraId="2D18804E" w14:textId="3D2E14FB" w:rsidR="004270E4" w:rsidRPr="003B6C60" w:rsidRDefault="0020044F" w:rsidP="00582DE3">
            <w:pPr>
              <w:rPr>
                <w:rFonts w:eastAsia="Calibri"/>
                <w:szCs w:val="24"/>
              </w:rPr>
            </w:pPr>
            <w:r w:rsidRPr="00A83F19">
              <w:rPr>
                <w:rFonts w:cs="Arial"/>
                <w:szCs w:val="24"/>
              </w:rPr>
              <w:t>1.1</w:t>
            </w:r>
            <w:r w:rsidRPr="00A83F19">
              <w:rPr>
                <w:rFonts w:cs="Arial"/>
                <w:szCs w:val="24"/>
              </w:rPr>
              <w:tab/>
            </w:r>
            <w:r w:rsidR="00ED5750" w:rsidRPr="00117B1B">
              <w:rPr>
                <w:rFonts w:eastAsia="Calibri"/>
                <w:szCs w:val="24"/>
              </w:rPr>
              <w:t>Approve</w:t>
            </w:r>
            <w:r w:rsidR="00ED5750" w:rsidRPr="00CE7493">
              <w:rPr>
                <w:rFonts w:eastAsia="Calibri"/>
                <w:szCs w:val="24"/>
              </w:rPr>
              <w:t xml:space="preserve"> the </w:t>
            </w:r>
            <w:r w:rsidR="00ED5750" w:rsidRPr="00582DE3">
              <w:rPr>
                <w:rFonts w:eastAsia="Calibri"/>
                <w:szCs w:val="24"/>
              </w:rPr>
              <w:t>collaborat</w:t>
            </w:r>
            <w:r w:rsidR="00952856" w:rsidRPr="00582DE3">
              <w:rPr>
                <w:rFonts w:eastAsia="Calibri"/>
                <w:szCs w:val="24"/>
              </w:rPr>
              <w:t>ion</w:t>
            </w:r>
            <w:r w:rsidR="00ED5750" w:rsidRPr="00582DE3">
              <w:rPr>
                <w:rFonts w:eastAsia="Calibri"/>
                <w:szCs w:val="24"/>
              </w:rPr>
              <w:t xml:space="preserve"> with the lead Borough Ealing </w:t>
            </w:r>
            <w:r w:rsidR="00952856" w:rsidRPr="00582DE3">
              <w:rPr>
                <w:rFonts w:eastAsia="Calibri"/>
                <w:szCs w:val="24"/>
              </w:rPr>
              <w:t xml:space="preserve">in order </w:t>
            </w:r>
            <w:r w:rsidR="00ED5750" w:rsidRPr="00582DE3">
              <w:rPr>
                <w:rFonts w:eastAsia="Calibri"/>
                <w:szCs w:val="24"/>
              </w:rPr>
              <w:t xml:space="preserve">to utilise </w:t>
            </w:r>
            <w:r w:rsidR="004759B8">
              <w:rPr>
                <w:rFonts w:eastAsia="Calibri"/>
                <w:szCs w:val="24"/>
              </w:rPr>
              <w:tab/>
            </w:r>
            <w:r w:rsidR="00ED5750" w:rsidRPr="00A67D03">
              <w:rPr>
                <w:rFonts w:eastAsia="Calibri"/>
                <w:szCs w:val="24"/>
              </w:rPr>
              <w:t xml:space="preserve">the funding awarded under the </w:t>
            </w:r>
            <w:proofErr w:type="gramStart"/>
            <w:r w:rsidR="00ED5750" w:rsidRPr="00A67D03">
              <w:rPr>
                <w:rFonts w:eastAsia="Calibri"/>
                <w:szCs w:val="24"/>
              </w:rPr>
              <w:t>GHG:LAD</w:t>
            </w:r>
            <w:proofErr w:type="gramEnd"/>
            <w:r w:rsidR="00ED5750" w:rsidRPr="00A67D03">
              <w:rPr>
                <w:rFonts w:eastAsia="Calibri"/>
                <w:szCs w:val="24"/>
              </w:rPr>
              <w:t xml:space="preserve"> </w:t>
            </w:r>
            <w:r w:rsidR="00A033CA">
              <w:rPr>
                <w:rFonts w:eastAsia="Calibri"/>
                <w:szCs w:val="24"/>
              </w:rPr>
              <w:t xml:space="preserve">Phase 2 </w:t>
            </w:r>
            <w:r w:rsidR="000558E9">
              <w:rPr>
                <w:rFonts w:eastAsia="Calibri"/>
                <w:szCs w:val="24"/>
              </w:rPr>
              <w:t xml:space="preserve">and </w:t>
            </w:r>
            <w:r w:rsidR="003B6C60">
              <w:rPr>
                <w:rFonts w:eastAsia="Calibri"/>
                <w:szCs w:val="24"/>
              </w:rPr>
              <w:t xml:space="preserve">any further phases </w:t>
            </w:r>
            <w:r w:rsidR="004759B8">
              <w:rPr>
                <w:rFonts w:eastAsia="Calibri"/>
                <w:szCs w:val="24"/>
              </w:rPr>
              <w:tab/>
            </w:r>
            <w:r w:rsidR="00ED5750" w:rsidRPr="00A033CA">
              <w:rPr>
                <w:rFonts w:eastAsia="Calibri"/>
                <w:szCs w:val="24"/>
              </w:rPr>
              <w:t xml:space="preserve">to the West London </w:t>
            </w:r>
            <w:r w:rsidR="00CE3FDB" w:rsidRPr="00A033CA">
              <w:rPr>
                <w:rFonts w:eastAsia="Calibri"/>
                <w:szCs w:val="24"/>
              </w:rPr>
              <w:t>consortium</w:t>
            </w:r>
            <w:r w:rsidR="00ED5750" w:rsidRPr="00A033CA">
              <w:rPr>
                <w:rFonts w:eastAsia="Calibri"/>
                <w:szCs w:val="24"/>
              </w:rPr>
              <w:t xml:space="preserve"> of 12 boroughs</w:t>
            </w:r>
            <w:r w:rsidR="009F2F03" w:rsidRPr="00A033CA">
              <w:rPr>
                <w:rFonts w:eastAsia="Calibri"/>
                <w:szCs w:val="24"/>
              </w:rPr>
              <w:t>.  This</w:t>
            </w:r>
            <w:r w:rsidR="00ED5750" w:rsidRPr="00A033CA">
              <w:rPr>
                <w:rFonts w:eastAsia="Calibri"/>
                <w:szCs w:val="24"/>
              </w:rPr>
              <w:t xml:space="preserve"> enable</w:t>
            </w:r>
            <w:r w:rsidR="009F2F03" w:rsidRPr="00A033CA">
              <w:rPr>
                <w:rFonts w:eastAsia="Calibri"/>
                <w:szCs w:val="24"/>
              </w:rPr>
              <w:t>s</w:t>
            </w:r>
            <w:r w:rsidR="00ED5750" w:rsidRPr="000558E9">
              <w:rPr>
                <w:rFonts w:eastAsia="Calibri"/>
                <w:szCs w:val="24"/>
              </w:rPr>
              <w:t xml:space="preserve"> retrofit </w:t>
            </w:r>
            <w:r w:rsidR="004759B8">
              <w:rPr>
                <w:rFonts w:eastAsia="Calibri"/>
                <w:szCs w:val="24"/>
              </w:rPr>
              <w:tab/>
            </w:r>
            <w:r w:rsidR="00ED5750" w:rsidRPr="000558E9">
              <w:rPr>
                <w:rFonts w:eastAsia="Calibri"/>
                <w:szCs w:val="24"/>
              </w:rPr>
              <w:t>solutions works to be deliv</w:t>
            </w:r>
            <w:r w:rsidR="00ED5750" w:rsidRPr="008D1A24">
              <w:rPr>
                <w:rFonts w:eastAsia="Calibri"/>
                <w:szCs w:val="24"/>
              </w:rPr>
              <w:t xml:space="preserve">ered via an appointed managing agent procured </w:t>
            </w:r>
            <w:r w:rsidR="004759B8">
              <w:rPr>
                <w:rFonts w:eastAsia="Calibri"/>
                <w:szCs w:val="24"/>
              </w:rPr>
              <w:tab/>
            </w:r>
            <w:r w:rsidR="00ED5750" w:rsidRPr="008D1A24">
              <w:rPr>
                <w:rFonts w:eastAsia="Calibri"/>
                <w:szCs w:val="24"/>
              </w:rPr>
              <w:t xml:space="preserve">by the lead Borough. </w:t>
            </w:r>
          </w:p>
          <w:p w14:paraId="14CEE230" w14:textId="77777777" w:rsidR="004270E4" w:rsidRDefault="004270E4" w:rsidP="00BD1DFE">
            <w:pPr>
              <w:pStyle w:val="ListParagraph"/>
              <w:rPr>
                <w:rFonts w:eastAsia="Calibri"/>
                <w:b/>
                <w:bCs/>
                <w:sz w:val="22"/>
                <w:szCs w:val="22"/>
              </w:rPr>
            </w:pPr>
          </w:p>
          <w:p w14:paraId="5215DAD1" w14:textId="2398B52E" w:rsidR="00ED5750" w:rsidRPr="00A83F19" w:rsidRDefault="00ED5750" w:rsidP="00BD1DFE">
            <w:pPr>
              <w:pStyle w:val="ListParagraph"/>
              <w:rPr>
                <w:rFonts w:eastAsia="Calibri"/>
                <w:szCs w:val="24"/>
              </w:rPr>
            </w:pPr>
            <w:r w:rsidRPr="00A83F19">
              <w:rPr>
                <w:rFonts w:eastAsia="Calibri"/>
                <w:szCs w:val="24"/>
              </w:rPr>
              <w:t xml:space="preserve">An indicative allocation, based on population and fuel poverty figures, of £10.788 million was awarded to the West London </w:t>
            </w:r>
            <w:r w:rsidR="00CE3FDB" w:rsidRPr="00A83F19">
              <w:rPr>
                <w:rFonts w:eastAsia="Calibri"/>
                <w:szCs w:val="24"/>
              </w:rPr>
              <w:t>Consortium</w:t>
            </w:r>
            <w:r w:rsidRPr="00A83F19">
              <w:rPr>
                <w:rFonts w:eastAsia="Calibri"/>
                <w:szCs w:val="24"/>
              </w:rPr>
              <w:t>. Harrow’s indicative allocation for Phase 2 is £</w:t>
            </w:r>
            <w:r w:rsidR="00087D68" w:rsidRPr="00A83F19">
              <w:rPr>
                <w:rFonts w:eastAsia="Calibri"/>
                <w:szCs w:val="24"/>
              </w:rPr>
              <w:t>750,000</w:t>
            </w:r>
            <w:r w:rsidR="00E65670" w:rsidRPr="00A83F19">
              <w:rPr>
                <w:rFonts w:eastAsia="Calibri"/>
                <w:szCs w:val="24"/>
              </w:rPr>
              <w:t xml:space="preserve"> based on this formula</w:t>
            </w:r>
            <w:r w:rsidRPr="00A83F19">
              <w:rPr>
                <w:rFonts w:eastAsia="Calibri"/>
                <w:szCs w:val="24"/>
              </w:rPr>
              <w:t xml:space="preserve">.  </w:t>
            </w:r>
            <w:r w:rsidR="00A83F19">
              <w:rPr>
                <w:rFonts w:eastAsia="Calibri"/>
                <w:szCs w:val="24"/>
              </w:rPr>
              <w:t xml:space="preserve">This would </w:t>
            </w:r>
            <w:r w:rsidR="001A60D1">
              <w:rPr>
                <w:rFonts w:eastAsia="Calibri"/>
                <w:szCs w:val="24"/>
              </w:rPr>
              <w:t>fund the retrofitting of at least a further 75 properties</w:t>
            </w:r>
            <w:r w:rsidR="0085772C">
              <w:rPr>
                <w:rFonts w:eastAsia="Calibri"/>
                <w:szCs w:val="24"/>
              </w:rPr>
              <w:t xml:space="preserve"> in addition to the anticipated </w:t>
            </w:r>
            <w:r w:rsidR="0085772C" w:rsidRPr="002B620B">
              <w:rPr>
                <w:rFonts w:eastAsia="Calibri"/>
                <w:szCs w:val="24"/>
              </w:rPr>
              <w:t>58</w:t>
            </w:r>
            <w:r w:rsidR="0085772C">
              <w:rPr>
                <w:rFonts w:eastAsia="Calibri"/>
                <w:szCs w:val="24"/>
              </w:rPr>
              <w:t xml:space="preserve"> in Phase 1a. </w:t>
            </w:r>
          </w:p>
          <w:p w14:paraId="2B78737F" w14:textId="77777777" w:rsidR="00ED5750" w:rsidRDefault="00ED5750" w:rsidP="00BD1DFE">
            <w:r>
              <w:t> </w:t>
            </w:r>
          </w:p>
          <w:p w14:paraId="78B020B2" w14:textId="0C1B50EA" w:rsidR="00ED5750" w:rsidRPr="001423AA" w:rsidRDefault="00105441" w:rsidP="00117B1B">
            <w:pPr>
              <w:ind w:left="744" w:hanging="744"/>
              <w:rPr>
                <w:szCs w:val="22"/>
              </w:rPr>
            </w:pPr>
            <w:r>
              <w:t xml:space="preserve">1.2     </w:t>
            </w:r>
            <w:r w:rsidR="00ED5750" w:rsidRPr="001423AA">
              <w:rPr>
                <w:szCs w:val="22"/>
              </w:rPr>
              <w:t xml:space="preserve"> </w:t>
            </w:r>
            <w:bookmarkStart w:id="1" w:name="_Hlk84863144"/>
            <w:r w:rsidR="00ED5750" w:rsidRPr="001423AA">
              <w:rPr>
                <w:szCs w:val="22"/>
              </w:rPr>
              <w:t xml:space="preserve">Delegate authority to the Corporate Director Community, </w:t>
            </w:r>
            <w:r w:rsidR="00587EFA">
              <w:rPr>
                <w:szCs w:val="22"/>
              </w:rPr>
              <w:t>following</w:t>
            </w:r>
            <w:r w:rsidR="00125A65" w:rsidRPr="001423AA">
              <w:rPr>
                <w:szCs w:val="22"/>
              </w:rPr>
              <w:t xml:space="preserve"> </w:t>
            </w:r>
            <w:r w:rsidR="00ED5750" w:rsidRPr="001423AA">
              <w:rPr>
                <w:szCs w:val="22"/>
              </w:rPr>
              <w:t>consultation with the Portfolio Holder</w:t>
            </w:r>
            <w:r w:rsidR="00494B35">
              <w:rPr>
                <w:szCs w:val="22"/>
              </w:rPr>
              <w:t>s</w:t>
            </w:r>
            <w:r w:rsidR="00ED5750" w:rsidRPr="001423AA">
              <w:rPr>
                <w:szCs w:val="22"/>
              </w:rPr>
              <w:t xml:space="preserve"> for Housing</w:t>
            </w:r>
            <w:r w:rsidR="00117B1B">
              <w:rPr>
                <w:szCs w:val="22"/>
              </w:rPr>
              <w:t xml:space="preserve"> </w:t>
            </w:r>
            <w:r w:rsidR="00494B35">
              <w:rPr>
                <w:szCs w:val="22"/>
              </w:rPr>
              <w:t>and</w:t>
            </w:r>
            <w:r w:rsidR="00ED5750" w:rsidRPr="001423AA">
              <w:rPr>
                <w:szCs w:val="22"/>
              </w:rPr>
              <w:t xml:space="preserve"> Finance</w:t>
            </w:r>
            <w:r w:rsidR="00D85F83">
              <w:rPr>
                <w:szCs w:val="22"/>
              </w:rPr>
              <w:t xml:space="preserve"> &amp; </w:t>
            </w:r>
            <w:r w:rsidR="00117B1B">
              <w:rPr>
                <w:szCs w:val="22"/>
              </w:rPr>
              <w:t>R</w:t>
            </w:r>
            <w:r w:rsidR="00D85F83">
              <w:rPr>
                <w:szCs w:val="22"/>
              </w:rPr>
              <w:t>esources</w:t>
            </w:r>
            <w:r w:rsidR="004353CE">
              <w:rPr>
                <w:szCs w:val="22"/>
              </w:rPr>
              <w:t xml:space="preserve"> and the </w:t>
            </w:r>
            <w:r w:rsidR="00ED5750" w:rsidRPr="001423AA">
              <w:rPr>
                <w:szCs w:val="22"/>
              </w:rPr>
              <w:t>Director of Finance</w:t>
            </w:r>
            <w:r w:rsidR="00125A65">
              <w:rPr>
                <w:szCs w:val="22"/>
              </w:rPr>
              <w:t xml:space="preserve"> </w:t>
            </w:r>
            <w:r w:rsidR="00494B35">
              <w:rPr>
                <w:szCs w:val="22"/>
              </w:rPr>
              <w:t>to</w:t>
            </w:r>
            <w:r w:rsidR="00ED5750" w:rsidRPr="001423AA">
              <w:rPr>
                <w:szCs w:val="22"/>
              </w:rPr>
              <w:t>:</w:t>
            </w:r>
          </w:p>
          <w:p w14:paraId="17E35436" w14:textId="77777777" w:rsidR="00ED5750" w:rsidRPr="001423AA" w:rsidRDefault="00ED5750" w:rsidP="00BD1DFE">
            <w:pPr>
              <w:rPr>
                <w:szCs w:val="22"/>
              </w:rPr>
            </w:pPr>
            <w:r w:rsidRPr="001423AA">
              <w:rPr>
                <w:szCs w:val="22"/>
              </w:rPr>
              <w:t> </w:t>
            </w:r>
          </w:p>
          <w:p w14:paraId="7E2A81E9" w14:textId="1FB7B5C2" w:rsidR="00105441" w:rsidRPr="00403FC6" w:rsidRDefault="00100C1E" w:rsidP="00055CD6">
            <w:pPr>
              <w:pStyle w:val="ListParagraph"/>
              <w:numPr>
                <w:ilvl w:val="0"/>
                <w:numId w:val="31"/>
              </w:numPr>
              <w:contextualSpacing/>
              <w:jc w:val="both"/>
            </w:pPr>
            <w:r>
              <w:t>Approve the contribution of</w:t>
            </w:r>
            <w:r w:rsidR="00ED5750" w:rsidRPr="001423AA">
              <w:t xml:space="preserve"> £75,000 from the HRA under Phase 2</w:t>
            </w:r>
            <w:r w:rsidR="00ED5750" w:rsidRPr="00ED5750">
              <w:t xml:space="preserve"> </w:t>
            </w:r>
            <w:r w:rsidR="00ED5750" w:rsidRPr="001423AA">
              <w:t xml:space="preserve">which requires the Council to match fund </w:t>
            </w:r>
            <w:r>
              <w:t xml:space="preserve">one third of </w:t>
            </w:r>
            <w:r w:rsidR="00E84E1C">
              <w:t xml:space="preserve">the Green Homes Grant of £150,000 </w:t>
            </w:r>
            <w:r>
              <w:t xml:space="preserve">for </w:t>
            </w:r>
            <w:r w:rsidR="00ED5750" w:rsidRPr="001423AA">
              <w:t xml:space="preserve">the installation of energy efficiency measures </w:t>
            </w:r>
            <w:r w:rsidR="00125A65">
              <w:t xml:space="preserve">to </w:t>
            </w:r>
            <w:r w:rsidR="00B800ED">
              <w:t>c</w:t>
            </w:r>
            <w:r w:rsidR="00ED5750" w:rsidRPr="001423AA">
              <w:t>ouncil</w:t>
            </w:r>
            <w:r w:rsidR="00B800ED">
              <w:t xml:space="preserve"> o</w:t>
            </w:r>
            <w:r w:rsidR="00ED5750" w:rsidRPr="001423AA">
              <w:t xml:space="preserve">wned properties. </w:t>
            </w:r>
          </w:p>
          <w:p w14:paraId="43CF6A7C" w14:textId="6FC71F76" w:rsidR="00ED5750" w:rsidRDefault="003E70E4" w:rsidP="00055CD6">
            <w:pPr>
              <w:pStyle w:val="ListParagraph"/>
              <w:ind w:left="1027" w:hanging="283"/>
            </w:pPr>
            <w:r>
              <w:t>b</w:t>
            </w:r>
            <w:r w:rsidR="007A34B6">
              <w:t xml:space="preserve">. </w:t>
            </w:r>
            <w:r w:rsidR="00907AD8">
              <w:t xml:space="preserve"> </w:t>
            </w:r>
            <w:r w:rsidR="00593423">
              <w:t>Seek and secure future funding including Phase 3 of the Green Homes Grant Local Authority Delivery Scheme,  Sustainable Warmth Competition, and/or Home Upgrade Grant following, following a West London Consortium competitive procurement process or other compliant procurement process, to take all necessary actions to utilise such funding and carry out further retrofit works to homes in the Borough</w:t>
            </w:r>
            <w:r>
              <w:rPr>
                <w:szCs w:val="22"/>
              </w:rPr>
              <w:t>.</w:t>
            </w:r>
            <w:r w:rsidR="00907AD8">
              <w:rPr>
                <w:szCs w:val="22"/>
              </w:rPr>
              <w:t xml:space="preserve"> </w:t>
            </w:r>
          </w:p>
          <w:bookmarkEnd w:id="1"/>
          <w:p w14:paraId="59814A8B" w14:textId="5CDB5447" w:rsidR="00585FC5" w:rsidRDefault="00585FC5" w:rsidP="00BD1DFE">
            <w:pPr>
              <w:pStyle w:val="Heading3"/>
              <w:ind w:left="0" w:firstLine="0"/>
              <w:jc w:val="left"/>
            </w:pPr>
          </w:p>
          <w:p w14:paraId="061365F9" w14:textId="38BA2DF1" w:rsidR="001C7E35" w:rsidRDefault="00585FC5" w:rsidP="00BD1DFE">
            <w:pPr>
              <w:pStyle w:val="Heading3"/>
              <w:ind w:left="0" w:firstLine="0"/>
              <w:jc w:val="left"/>
              <w:rPr>
                <w:color w:val="FF0000"/>
              </w:rPr>
            </w:pPr>
            <w:r>
              <w:t>R</w:t>
            </w:r>
            <w:r w:rsidR="00E13BEF">
              <w:t>eason</w:t>
            </w:r>
            <w:r w:rsidR="00DF7201">
              <w:t>: (</w:t>
            </w:r>
            <w:r w:rsidR="00E13BEF">
              <w:t>f</w:t>
            </w:r>
            <w:r w:rsidR="001C7E35" w:rsidRPr="00605A4C">
              <w:t>or recommendation</w:t>
            </w:r>
            <w:r w:rsidR="00714BEE" w:rsidRPr="00605A4C">
              <w:t>s</w:t>
            </w:r>
            <w:r w:rsidR="001C7E35" w:rsidRPr="00605A4C">
              <w:t>)</w:t>
            </w:r>
            <w:r w:rsidR="00F91AE4">
              <w:t xml:space="preserve"> </w:t>
            </w:r>
            <w:r w:rsidR="001C7E35">
              <w:t xml:space="preserve"> </w:t>
            </w:r>
          </w:p>
          <w:p w14:paraId="4437E431" w14:textId="77777777" w:rsidR="00BE7965" w:rsidRDefault="00BE7965" w:rsidP="00DC32A8"/>
          <w:p w14:paraId="23C038EB" w14:textId="716ED6EB" w:rsidR="00DC32A8" w:rsidRPr="00403FC6" w:rsidRDefault="00297F0E" w:rsidP="00DC32A8">
            <w:r w:rsidRPr="00297F0E">
              <w:t>The de</w:t>
            </w:r>
            <w:r>
              <w:t>l</w:t>
            </w:r>
            <w:r w:rsidRPr="00297F0E">
              <w:t xml:space="preserve">ivery of retrofit activity under the scheme </w:t>
            </w:r>
            <w:r w:rsidR="00DC32A8" w:rsidRPr="00403FC6">
              <w:t>will enable the Council to: -</w:t>
            </w:r>
          </w:p>
          <w:p w14:paraId="205454FB" w14:textId="77777777" w:rsidR="00DC32A8" w:rsidRPr="00505F30" w:rsidRDefault="00DC32A8" w:rsidP="00DC32A8"/>
          <w:p w14:paraId="5E4CF135" w14:textId="77777777" w:rsidR="00DC32A8" w:rsidRDefault="00DC32A8" w:rsidP="00DC32A8">
            <w:pPr>
              <w:pStyle w:val="ListParagraph"/>
              <w:widowControl w:val="0"/>
              <w:numPr>
                <w:ilvl w:val="0"/>
                <w:numId w:val="32"/>
              </w:numPr>
              <w:tabs>
                <w:tab w:val="left" w:pos="1300"/>
                <w:tab w:val="left" w:pos="1301"/>
              </w:tabs>
              <w:autoSpaceDE w:val="0"/>
              <w:autoSpaceDN w:val="0"/>
              <w:spacing w:before="1"/>
              <w:ind w:right="1875"/>
            </w:pPr>
            <w:r>
              <w:rPr>
                <w:noProof/>
                <w:sz w:val="22"/>
              </w:rPr>
              <mc:AlternateContent>
                <mc:Choice Requires="wps">
                  <w:drawing>
                    <wp:anchor distT="0" distB="0" distL="114300" distR="114300" simplePos="0" relativeHeight="251657216" behindDoc="1" locked="0" layoutInCell="1" allowOverlap="1" wp14:anchorId="259E7342" wp14:editId="4AB884D1">
                      <wp:simplePos x="0" y="0"/>
                      <wp:positionH relativeFrom="page">
                        <wp:posOffset>1600200</wp:posOffset>
                      </wp:positionH>
                      <wp:positionV relativeFrom="paragraph">
                        <wp:posOffset>104140</wp:posOffset>
                      </wp:positionV>
                      <wp:extent cx="50165" cy="7620"/>
                      <wp:effectExtent l="0" t="190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76FE91" id="Rectangle 5" o:spid="_x0000_s1026" style="position:absolute;margin-left:126pt;margin-top:8.2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" fillcolor="black" stroked="f">
                      <w10:wrap anchorx="page"/>
                    </v:rect>
                  </w:pict>
                </mc:Fallback>
              </mc:AlternateContent>
            </w:r>
            <w:r>
              <w:t>Address</w:t>
            </w:r>
            <w:r>
              <w:rPr>
                <w:spacing w:val="-4"/>
              </w:rPr>
              <w:t xml:space="preserve"> </w:t>
            </w:r>
            <w:r>
              <w:t>the</w:t>
            </w:r>
            <w:r>
              <w:rPr>
                <w:spacing w:val="-4"/>
              </w:rPr>
              <w:t xml:space="preserve"> </w:t>
            </w:r>
            <w:r>
              <w:t>Climate</w:t>
            </w:r>
            <w:r>
              <w:rPr>
                <w:spacing w:val="-2"/>
              </w:rPr>
              <w:t xml:space="preserve"> </w:t>
            </w:r>
            <w:r>
              <w:t>Emergency</w:t>
            </w:r>
            <w:r>
              <w:rPr>
                <w:spacing w:val="-5"/>
              </w:rPr>
              <w:t xml:space="preserve"> </w:t>
            </w:r>
            <w:r>
              <w:t>that</w:t>
            </w:r>
            <w:r>
              <w:rPr>
                <w:spacing w:val="-4"/>
              </w:rPr>
              <w:t xml:space="preserve"> </w:t>
            </w:r>
            <w:r>
              <w:t>Harrow</w:t>
            </w:r>
            <w:r>
              <w:rPr>
                <w:spacing w:val="-4"/>
              </w:rPr>
              <w:t xml:space="preserve"> </w:t>
            </w:r>
            <w:r>
              <w:t>Council</w:t>
            </w:r>
            <w:r>
              <w:rPr>
                <w:spacing w:val="-3"/>
              </w:rPr>
              <w:t xml:space="preserve"> </w:t>
            </w:r>
            <w:r>
              <w:t>has declared</w:t>
            </w:r>
            <w:r>
              <w:rPr>
                <w:spacing w:val="-3"/>
              </w:rPr>
              <w:t xml:space="preserve"> by undertaking </w:t>
            </w:r>
            <w:r>
              <w:t>domestic retrofit measures in the borough.</w:t>
            </w:r>
          </w:p>
          <w:p w14:paraId="48CE57CB" w14:textId="03C07DBD" w:rsidR="00DC32A8" w:rsidRDefault="00DC32A8" w:rsidP="00DC32A8">
            <w:pPr>
              <w:pStyle w:val="ListParagraph"/>
              <w:widowControl w:val="0"/>
              <w:numPr>
                <w:ilvl w:val="0"/>
                <w:numId w:val="32"/>
              </w:numPr>
              <w:tabs>
                <w:tab w:val="left" w:pos="1300"/>
                <w:tab w:val="left" w:pos="1301"/>
              </w:tabs>
              <w:autoSpaceDE w:val="0"/>
              <w:autoSpaceDN w:val="0"/>
              <w:ind w:right="1820"/>
            </w:pPr>
            <w:r>
              <w:rPr>
                <w:noProof/>
                <w:sz w:val="22"/>
              </w:rPr>
              <mc:AlternateContent>
                <mc:Choice Requires="wps">
                  <w:drawing>
                    <wp:anchor distT="0" distB="0" distL="114300" distR="114300" simplePos="0" relativeHeight="251659264" behindDoc="1" locked="0" layoutInCell="1" allowOverlap="1" wp14:anchorId="23CC179A" wp14:editId="67B221F8">
                      <wp:simplePos x="0" y="0"/>
                      <wp:positionH relativeFrom="page">
                        <wp:posOffset>1600200</wp:posOffset>
                      </wp:positionH>
                      <wp:positionV relativeFrom="paragraph">
                        <wp:posOffset>103505</wp:posOffset>
                      </wp:positionV>
                      <wp:extent cx="50165" cy="7620"/>
                      <wp:effectExtent l="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3B5E1A4" id="Rectangle 6" o:spid="_x0000_s1026" style="position:absolute;margin-left:126pt;margin-top:8.15pt;width:3.9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" fillcolor="black" stroked="f">
                      <w10:wrap anchorx="page"/>
                    </v:rect>
                  </w:pict>
                </mc:Fallback>
              </mc:AlternateContent>
            </w:r>
            <w:r>
              <w:t>Target</w:t>
            </w:r>
            <w:r>
              <w:rPr>
                <w:spacing w:val="-4"/>
              </w:rPr>
              <w:t xml:space="preserve"> </w:t>
            </w:r>
            <w:r>
              <w:t>not</w:t>
            </w:r>
            <w:r>
              <w:rPr>
                <w:spacing w:val="-4"/>
              </w:rPr>
              <w:t xml:space="preserve"> </w:t>
            </w:r>
            <w:r>
              <w:t>only</w:t>
            </w:r>
            <w:r>
              <w:rPr>
                <w:spacing w:val="-5"/>
              </w:rPr>
              <w:t xml:space="preserve"> </w:t>
            </w:r>
            <w:r>
              <w:t>Harrow’s</w:t>
            </w:r>
            <w:r>
              <w:rPr>
                <w:spacing w:val="-2"/>
              </w:rPr>
              <w:t xml:space="preserve"> </w:t>
            </w:r>
            <w:r>
              <w:t>poorest</w:t>
            </w:r>
            <w:r>
              <w:rPr>
                <w:spacing w:val="-3"/>
              </w:rPr>
              <w:t xml:space="preserve"> </w:t>
            </w:r>
            <w:r>
              <w:t>energy</w:t>
            </w:r>
            <w:r>
              <w:rPr>
                <w:spacing w:val="-5"/>
              </w:rPr>
              <w:t xml:space="preserve"> </w:t>
            </w:r>
            <w:r>
              <w:t>performing</w:t>
            </w:r>
            <w:r>
              <w:rPr>
                <w:spacing w:val="-3"/>
              </w:rPr>
              <w:t xml:space="preserve"> </w:t>
            </w:r>
            <w:r>
              <w:t>stock</w:t>
            </w:r>
            <w:r>
              <w:rPr>
                <w:spacing w:val="-2"/>
              </w:rPr>
              <w:t xml:space="preserve"> </w:t>
            </w:r>
            <w:r>
              <w:t>but</w:t>
            </w:r>
            <w:r>
              <w:rPr>
                <w:spacing w:val="-4"/>
              </w:rPr>
              <w:t xml:space="preserve"> </w:t>
            </w:r>
            <w:r w:rsidR="003E70E4">
              <w:t xml:space="preserve">also those </w:t>
            </w:r>
            <w:r>
              <w:t>households</w:t>
            </w:r>
            <w:r>
              <w:rPr>
                <w:spacing w:val="-1"/>
              </w:rPr>
              <w:t xml:space="preserve"> </w:t>
            </w:r>
            <w:r>
              <w:t>in</w:t>
            </w:r>
            <w:r>
              <w:rPr>
                <w:spacing w:val="-4"/>
              </w:rPr>
              <w:t xml:space="preserve"> </w:t>
            </w:r>
            <w:r>
              <w:t>greatest</w:t>
            </w:r>
            <w:r>
              <w:rPr>
                <w:spacing w:val="-1"/>
              </w:rPr>
              <w:t xml:space="preserve"> </w:t>
            </w:r>
            <w:r>
              <w:t>need</w:t>
            </w:r>
            <w:r>
              <w:rPr>
                <w:spacing w:val="-4"/>
              </w:rPr>
              <w:t xml:space="preserve"> </w:t>
            </w:r>
            <w:r>
              <w:lastRenderedPageBreak/>
              <w:t>helping</w:t>
            </w:r>
            <w:r>
              <w:rPr>
                <w:spacing w:val="-3"/>
              </w:rPr>
              <w:t xml:space="preserve"> </w:t>
            </w:r>
            <w:r>
              <w:t>to</w:t>
            </w:r>
            <w:r>
              <w:rPr>
                <w:spacing w:val="-3"/>
              </w:rPr>
              <w:t xml:space="preserve"> </w:t>
            </w:r>
            <w:r>
              <w:t>reduce</w:t>
            </w:r>
            <w:r>
              <w:rPr>
                <w:spacing w:val="-4"/>
              </w:rPr>
              <w:t xml:space="preserve"> </w:t>
            </w:r>
            <w:r>
              <w:t>fuel</w:t>
            </w:r>
            <w:r>
              <w:rPr>
                <w:spacing w:val="3"/>
              </w:rPr>
              <w:t xml:space="preserve"> </w:t>
            </w:r>
            <w:r>
              <w:t>poverty.</w:t>
            </w:r>
          </w:p>
          <w:p w14:paraId="2F0AE2E9" w14:textId="77777777" w:rsidR="00DC32A8" w:rsidRDefault="00DC32A8" w:rsidP="00DC32A8">
            <w:pPr>
              <w:pStyle w:val="ListParagraph"/>
              <w:widowControl w:val="0"/>
              <w:numPr>
                <w:ilvl w:val="0"/>
                <w:numId w:val="32"/>
              </w:numPr>
              <w:tabs>
                <w:tab w:val="left" w:pos="1300"/>
                <w:tab w:val="left" w:pos="1301"/>
              </w:tabs>
              <w:autoSpaceDE w:val="0"/>
              <w:autoSpaceDN w:val="0"/>
              <w:ind w:right="1964"/>
            </w:pPr>
            <w:r>
              <w:rPr>
                <w:noProof/>
                <w:sz w:val="22"/>
              </w:rPr>
              <mc:AlternateContent>
                <mc:Choice Requires="wps">
                  <w:drawing>
                    <wp:anchor distT="0" distB="0" distL="114300" distR="114300" simplePos="0" relativeHeight="251661312" behindDoc="1" locked="0" layoutInCell="1" allowOverlap="1" wp14:anchorId="37CE1BAF" wp14:editId="7908D453">
                      <wp:simplePos x="0" y="0"/>
                      <wp:positionH relativeFrom="page">
                        <wp:posOffset>1600200</wp:posOffset>
                      </wp:positionH>
                      <wp:positionV relativeFrom="paragraph">
                        <wp:posOffset>103505</wp:posOffset>
                      </wp:positionV>
                      <wp:extent cx="50165" cy="7620"/>
                      <wp:effectExtent l="0" t="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CB2AB26" id="Rectangle 7" o:spid="_x0000_s1026" style="position:absolute;margin-left:126pt;margin-top:8.15pt;width:3.9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" fillcolor="black" stroked="f">
                      <w10:wrap anchorx="page"/>
                    </v:rect>
                  </w:pict>
                </mc:Fallback>
              </mc:AlternateContent>
            </w:r>
            <w:r>
              <w:t>Contribute to helping the local Harrow economy by providing</w:t>
            </w:r>
            <w:r>
              <w:rPr>
                <w:spacing w:val="1"/>
              </w:rPr>
              <w:t xml:space="preserve"> </w:t>
            </w:r>
            <w:r>
              <w:t>opportunities for local training within colleges and employment</w:t>
            </w:r>
            <w:r>
              <w:rPr>
                <w:spacing w:val="1"/>
              </w:rPr>
              <w:t xml:space="preserve"> </w:t>
            </w:r>
            <w:r>
              <w:t>opportunities,</w:t>
            </w:r>
            <w:r>
              <w:rPr>
                <w:spacing w:val="-3"/>
              </w:rPr>
              <w:t xml:space="preserve"> </w:t>
            </w:r>
            <w:r>
              <w:t>via</w:t>
            </w:r>
            <w:r>
              <w:rPr>
                <w:spacing w:val="-3"/>
              </w:rPr>
              <w:t xml:space="preserve"> </w:t>
            </w:r>
            <w:r>
              <w:t>agreed</w:t>
            </w:r>
            <w:r>
              <w:rPr>
                <w:spacing w:val="-3"/>
              </w:rPr>
              <w:t xml:space="preserve"> </w:t>
            </w:r>
            <w:r>
              <w:t>social</w:t>
            </w:r>
            <w:r>
              <w:rPr>
                <w:spacing w:val="-3"/>
              </w:rPr>
              <w:t xml:space="preserve"> </w:t>
            </w:r>
            <w:r>
              <w:t>value</w:t>
            </w:r>
            <w:r>
              <w:rPr>
                <w:spacing w:val="-2"/>
              </w:rPr>
              <w:t xml:space="preserve"> </w:t>
            </w:r>
            <w:r>
              <w:t>contribution/</w:t>
            </w:r>
            <w:r>
              <w:rPr>
                <w:spacing w:val="-5"/>
              </w:rPr>
              <w:t xml:space="preserve"> </w:t>
            </w:r>
            <w:r>
              <w:t>commitments.</w:t>
            </w:r>
          </w:p>
          <w:p w14:paraId="4FAFC827" w14:textId="2093C191" w:rsidR="00DC32A8" w:rsidRDefault="00DC32A8" w:rsidP="00DC32A8">
            <w:pPr>
              <w:pStyle w:val="ListParagraph"/>
              <w:widowControl w:val="0"/>
              <w:numPr>
                <w:ilvl w:val="0"/>
                <w:numId w:val="32"/>
              </w:numPr>
              <w:tabs>
                <w:tab w:val="left" w:pos="1300"/>
                <w:tab w:val="left" w:pos="1301"/>
              </w:tabs>
              <w:autoSpaceDE w:val="0"/>
              <w:autoSpaceDN w:val="0"/>
              <w:ind w:right="1678"/>
            </w:pPr>
            <w:r>
              <w:t>Improve the energy efficiency of private properties</w:t>
            </w:r>
            <w:r w:rsidR="00D63AA6">
              <w:t xml:space="preserve"> and </w:t>
            </w:r>
            <w:r w:rsidR="00441DD0">
              <w:t>social housing</w:t>
            </w:r>
            <w:r>
              <w:t>, supported by grant</w:t>
            </w:r>
            <w:r>
              <w:rPr>
                <w:spacing w:val="-64"/>
              </w:rPr>
              <w:t xml:space="preserve"> </w:t>
            </w:r>
            <w:r>
              <w:t>funding and £75,000 Harrow HRA funding.</w:t>
            </w:r>
          </w:p>
          <w:p w14:paraId="45CA3925" w14:textId="77777777" w:rsidR="00966C52" w:rsidRPr="00E65670" w:rsidRDefault="00966C52" w:rsidP="00BD1DFE"/>
          <w:bookmarkEnd w:id="0"/>
          <w:p w14:paraId="18A375B6" w14:textId="0B319BE6" w:rsidR="00A74750" w:rsidRDefault="004270E4" w:rsidP="00BD1DFE">
            <w:pPr>
              <w:pStyle w:val="BodyText"/>
              <w:spacing w:before="1"/>
              <w:ind w:right="121"/>
              <w:rPr>
                <w:i w:val="0"/>
                <w:iCs w:val="0"/>
                <w:spacing w:val="-64"/>
              </w:rPr>
            </w:pPr>
            <w:r w:rsidRPr="00E65670">
              <w:rPr>
                <w:i w:val="0"/>
                <w:iCs w:val="0"/>
              </w:rPr>
              <w:t xml:space="preserve">Due to the estimated value of the proposed contract </w:t>
            </w:r>
            <w:r w:rsidR="005160BC" w:rsidRPr="00E65670">
              <w:rPr>
                <w:i w:val="0"/>
                <w:iCs w:val="0"/>
              </w:rPr>
              <w:t>award,</w:t>
            </w:r>
            <w:r w:rsidR="00E65670" w:rsidRPr="00E65670">
              <w:rPr>
                <w:i w:val="0"/>
                <w:iCs w:val="0"/>
              </w:rPr>
              <w:t xml:space="preserve"> </w:t>
            </w:r>
            <w:r w:rsidRPr="00E65670">
              <w:rPr>
                <w:i w:val="0"/>
                <w:iCs w:val="0"/>
              </w:rPr>
              <w:t>we require</w:t>
            </w:r>
            <w:r w:rsidRPr="00E65670">
              <w:rPr>
                <w:i w:val="0"/>
                <w:iCs w:val="0"/>
                <w:spacing w:val="-64"/>
              </w:rPr>
              <w:t xml:space="preserve"> </w:t>
            </w:r>
            <w:r w:rsidR="00A41206">
              <w:rPr>
                <w:i w:val="0"/>
                <w:iCs w:val="0"/>
                <w:spacing w:val="-64"/>
              </w:rPr>
              <w:t xml:space="preserve">    </w:t>
            </w:r>
            <w:r w:rsidR="00A74750">
              <w:rPr>
                <w:i w:val="0"/>
                <w:iCs w:val="0"/>
                <w:spacing w:val="-64"/>
              </w:rPr>
              <w:t xml:space="preserve">      </w:t>
            </w:r>
          </w:p>
          <w:p w14:paraId="5AC8FE92" w14:textId="77777777" w:rsidR="00D96814" w:rsidRDefault="004270E4" w:rsidP="00587EFA">
            <w:pPr>
              <w:pStyle w:val="BodyText"/>
              <w:spacing w:before="1"/>
              <w:ind w:right="121"/>
              <w:rPr>
                <w:i w:val="0"/>
                <w:iCs w:val="0"/>
              </w:rPr>
            </w:pPr>
            <w:r w:rsidRPr="00E65670">
              <w:rPr>
                <w:i w:val="0"/>
                <w:iCs w:val="0"/>
              </w:rPr>
              <w:t>Cabinet authorisation to comply with the Council’s Contract Procedure</w:t>
            </w:r>
            <w:r w:rsidR="00826C75">
              <w:rPr>
                <w:i w:val="0"/>
                <w:iCs w:val="0"/>
              </w:rPr>
              <w:t xml:space="preserve"> </w:t>
            </w:r>
            <w:r w:rsidRPr="00E65670">
              <w:rPr>
                <w:i w:val="0"/>
                <w:iCs w:val="0"/>
                <w:spacing w:val="-64"/>
              </w:rPr>
              <w:t xml:space="preserve"> </w:t>
            </w:r>
            <w:r w:rsidR="00A41206">
              <w:rPr>
                <w:i w:val="0"/>
                <w:iCs w:val="0"/>
                <w:spacing w:val="-64"/>
              </w:rPr>
              <w:t xml:space="preserve"> </w:t>
            </w:r>
            <w:r w:rsidR="00B139F1">
              <w:rPr>
                <w:i w:val="0"/>
                <w:iCs w:val="0"/>
                <w:spacing w:val="-64"/>
              </w:rPr>
              <w:t xml:space="preserve"> </w:t>
            </w:r>
            <w:r w:rsidR="00A41206">
              <w:rPr>
                <w:i w:val="0"/>
                <w:iCs w:val="0"/>
                <w:spacing w:val="-64"/>
              </w:rPr>
              <w:t xml:space="preserve">  </w:t>
            </w:r>
            <w:r w:rsidR="00826C75">
              <w:rPr>
                <w:i w:val="0"/>
                <w:iCs w:val="0"/>
                <w:spacing w:val="-64"/>
              </w:rPr>
              <w:t xml:space="preserve"> </w:t>
            </w:r>
            <w:r w:rsidR="00A41206">
              <w:rPr>
                <w:i w:val="0"/>
                <w:iCs w:val="0"/>
                <w:spacing w:val="-64"/>
              </w:rPr>
              <w:t xml:space="preserve"> </w:t>
            </w:r>
            <w:r w:rsidR="000D1BCC">
              <w:rPr>
                <w:i w:val="0"/>
                <w:iCs w:val="0"/>
                <w:spacing w:val="-64"/>
              </w:rPr>
              <w:t xml:space="preserve"> </w:t>
            </w:r>
            <w:r w:rsidRPr="00E65670">
              <w:rPr>
                <w:i w:val="0"/>
                <w:iCs w:val="0"/>
              </w:rPr>
              <w:t>rules and to</w:t>
            </w:r>
            <w:r w:rsidRPr="00E65670">
              <w:rPr>
                <w:i w:val="0"/>
                <w:iCs w:val="0"/>
                <w:spacing w:val="-2"/>
              </w:rPr>
              <w:t xml:space="preserve"> </w:t>
            </w:r>
            <w:r w:rsidRPr="00E65670">
              <w:rPr>
                <w:i w:val="0"/>
                <w:iCs w:val="0"/>
              </w:rPr>
              <w:t>enable</w:t>
            </w:r>
            <w:r w:rsidRPr="00E65670">
              <w:rPr>
                <w:i w:val="0"/>
                <w:iCs w:val="0"/>
                <w:spacing w:val="-2"/>
              </w:rPr>
              <w:t xml:space="preserve"> </w:t>
            </w:r>
            <w:r w:rsidRPr="00E65670">
              <w:rPr>
                <w:i w:val="0"/>
                <w:iCs w:val="0"/>
              </w:rPr>
              <w:t>us</w:t>
            </w:r>
            <w:r w:rsidRPr="00E65670">
              <w:rPr>
                <w:i w:val="0"/>
                <w:iCs w:val="0"/>
                <w:spacing w:val="-2"/>
              </w:rPr>
              <w:t xml:space="preserve"> </w:t>
            </w:r>
            <w:r w:rsidRPr="00E65670">
              <w:rPr>
                <w:i w:val="0"/>
                <w:iCs w:val="0"/>
              </w:rPr>
              <w:t>to</w:t>
            </w:r>
            <w:r w:rsidRPr="00E65670">
              <w:rPr>
                <w:i w:val="0"/>
                <w:iCs w:val="0"/>
                <w:spacing w:val="1"/>
              </w:rPr>
              <w:t xml:space="preserve"> </w:t>
            </w:r>
            <w:r w:rsidRPr="00E65670">
              <w:rPr>
                <w:i w:val="0"/>
                <w:iCs w:val="0"/>
              </w:rPr>
              <w:t>utilise</w:t>
            </w:r>
            <w:r w:rsidRPr="00E65670">
              <w:rPr>
                <w:i w:val="0"/>
                <w:iCs w:val="0"/>
                <w:spacing w:val="-2"/>
              </w:rPr>
              <w:t xml:space="preserve"> </w:t>
            </w:r>
            <w:r w:rsidRPr="00E65670">
              <w:rPr>
                <w:i w:val="0"/>
                <w:iCs w:val="0"/>
              </w:rPr>
              <w:t>this grant</w:t>
            </w:r>
            <w:r w:rsidRPr="00E65670">
              <w:rPr>
                <w:i w:val="0"/>
                <w:iCs w:val="0"/>
                <w:spacing w:val="-2"/>
              </w:rPr>
              <w:t xml:space="preserve"> </w:t>
            </w:r>
            <w:r w:rsidRPr="00E65670">
              <w:rPr>
                <w:i w:val="0"/>
                <w:iCs w:val="0"/>
              </w:rPr>
              <w:t>funding.</w:t>
            </w:r>
          </w:p>
          <w:p w14:paraId="313BC81E" w14:textId="6BFCC2C5" w:rsidR="00587EFA" w:rsidRPr="00D96814" w:rsidRDefault="00587EFA" w:rsidP="00587EFA">
            <w:pPr>
              <w:pStyle w:val="BodyText"/>
              <w:spacing w:before="1"/>
              <w:ind w:right="121"/>
            </w:pPr>
          </w:p>
        </w:tc>
      </w:tr>
    </w:tbl>
    <w:p w14:paraId="0204F38A" w14:textId="59CDFC1A" w:rsidR="00333FAA" w:rsidRDefault="00333FAA" w:rsidP="00F06E4E">
      <w:pPr>
        <w:pStyle w:val="Heading2"/>
        <w:spacing w:before="480"/>
      </w:pPr>
      <w:r>
        <w:lastRenderedPageBreak/>
        <w:t>Section 2 – Report</w:t>
      </w:r>
    </w:p>
    <w:p w14:paraId="76168D48" w14:textId="0F36A209" w:rsidR="001C7E35" w:rsidRDefault="001C7E35" w:rsidP="00F06E4E">
      <w:pPr>
        <w:pStyle w:val="Heading3"/>
        <w:spacing w:before="240"/>
      </w:pPr>
      <w:r>
        <w:t>Introduct</w:t>
      </w:r>
      <w:r w:rsidR="00B109AE">
        <w:t xml:space="preserve">ion </w:t>
      </w:r>
    </w:p>
    <w:p w14:paraId="5E3B0140" w14:textId="18ABD25D" w:rsidR="00D1649D" w:rsidRDefault="00D1649D" w:rsidP="001C7E35"/>
    <w:p w14:paraId="4878DD9D" w14:textId="4C6F8A99" w:rsidR="00E65670" w:rsidRDefault="00D92901" w:rsidP="00E65670">
      <w:pPr>
        <w:pStyle w:val="Default"/>
        <w:ind w:left="720" w:hanging="720"/>
      </w:pPr>
      <w:r>
        <w:t>2.1</w:t>
      </w:r>
      <w:r>
        <w:tab/>
      </w:r>
      <w:r w:rsidR="00E65670">
        <w:t xml:space="preserve">In January 2021 Cabinet approved Harrow’s participation in the Ealing </w:t>
      </w:r>
      <w:r w:rsidR="00B42A2E">
        <w:t xml:space="preserve">led West London </w:t>
      </w:r>
      <w:r w:rsidR="00CE3FDB">
        <w:t>consortium</w:t>
      </w:r>
      <w:r w:rsidR="00E65670">
        <w:t xml:space="preserve"> to deliver vital carbon reducing and fuel poverty improvements through the Governments Green Homes Grant (GHG) Local Authority Delivery (LAD) scheme Phase 1</w:t>
      </w:r>
      <w:r w:rsidR="00ED0219">
        <w:t>a</w:t>
      </w:r>
      <w:r w:rsidR="00E65670">
        <w:t xml:space="preserve">. </w:t>
      </w:r>
    </w:p>
    <w:p w14:paraId="6150FFA7" w14:textId="77777777" w:rsidR="00E65670" w:rsidRDefault="00E65670" w:rsidP="00D92901">
      <w:pPr>
        <w:pStyle w:val="Default"/>
        <w:ind w:left="720" w:hanging="720"/>
      </w:pPr>
    </w:p>
    <w:p w14:paraId="60A0EF67" w14:textId="79C8692D" w:rsidR="000251C0" w:rsidRDefault="00D92901" w:rsidP="00D92901">
      <w:pPr>
        <w:pStyle w:val="Default"/>
        <w:ind w:left="720" w:hanging="720"/>
      </w:pPr>
      <w:r>
        <w:t>2.</w:t>
      </w:r>
      <w:r w:rsidR="00896E33">
        <w:t>2</w:t>
      </w:r>
      <w:r>
        <w:tab/>
      </w:r>
      <w:r w:rsidR="00A4383F" w:rsidRPr="009D668B">
        <w:t>The GHG LAD scheme set</w:t>
      </w:r>
      <w:r w:rsidR="00D55C39">
        <w:t>s</w:t>
      </w:r>
      <w:r w:rsidR="00A4383F" w:rsidRPr="009D668B">
        <w:t xml:space="preserve"> out to improve the worst-quality homes in England by installing Eligible Measures</w:t>
      </w:r>
      <w:r w:rsidR="003A0C55">
        <w:t xml:space="preserve"> and the</w:t>
      </w:r>
      <w:r w:rsidR="00A4383F" w:rsidRPr="009D668B">
        <w:t xml:space="preserve"> initial LAD scheme</w:t>
      </w:r>
      <w:r w:rsidR="003A0C55">
        <w:t xml:space="preserve"> </w:t>
      </w:r>
      <w:r w:rsidR="003A0C55" w:rsidRPr="009D668B">
        <w:t>(</w:t>
      </w:r>
      <w:r w:rsidR="004A0954">
        <w:t>t</w:t>
      </w:r>
      <w:r w:rsidR="003A0C55" w:rsidRPr="009D668B">
        <w:t>ranche 1</w:t>
      </w:r>
      <w:r w:rsidR="000251C0">
        <w:t>a</w:t>
      </w:r>
      <w:r w:rsidR="003A0C55" w:rsidRPr="009D668B">
        <w:t xml:space="preserve">), </w:t>
      </w:r>
      <w:r w:rsidR="00A4383F" w:rsidRPr="009D668B">
        <w:t>aims to provide up to £200m</w:t>
      </w:r>
      <w:r w:rsidR="00DF7201">
        <w:t xml:space="preserve"> </w:t>
      </w:r>
      <w:r w:rsidR="001E7581">
        <w:rPr>
          <w:rStyle w:val="normaltextrun"/>
          <w:shd w:val="clear" w:color="auto" w:fill="FFFFFF"/>
        </w:rPr>
        <w:t>to Local Authorities to deliver the Eligible Measures in Eligible Households. </w:t>
      </w:r>
      <w:r w:rsidR="001E7581">
        <w:t xml:space="preserve"> </w:t>
      </w:r>
    </w:p>
    <w:p w14:paraId="2AB676F9" w14:textId="77777777" w:rsidR="000251C0" w:rsidRDefault="000251C0" w:rsidP="00EF3611">
      <w:pPr>
        <w:pStyle w:val="Default"/>
      </w:pPr>
    </w:p>
    <w:p w14:paraId="09FD3780" w14:textId="42C95ED7" w:rsidR="002348FB" w:rsidRDefault="00D92901" w:rsidP="00164531">
      <w:pPr>
        <w:pStyle w:val="Default"/>
        <w:ind w:left="720" w:hanging="720"/>
      </w:pPr>
      <w:r>
        <w:t>2.</w:t>
      </w:r>
      <w:r w:rsidR="00896E33">
        <w:t>3</w:t>
      </w:r>
      <w:r>
        <w:tab/>
      </w:r>
      <w:r w:rsidR="001E7581">
        <w:t>T</w:t>
      </w:r>
      <w:r w:rsidR="00A4383F" w:rsidRPr="009D668B">
        <w:t>he primary purpose of the GHG LAD</w:t>
      </w:r>
      <w:r w:rsidR="00E65670">
        <w:t xml:space="preserve"> Phase 1</w:t>
      </w:r>
      <w:r w:rsidR="00AB3AA4">
        <w:t>a</w:t>
      </w:r>
      <w:r w:rsidR="00A4383F" w:rsidRPr="009D668B">
        <w:t xml:space="preserve"> </w:t>
      </w:r>
      <w:r w:rsidR="00E65670">
        <w:t>was</w:t>
      </w:r>
      <w:r w:rsidR="00A4383F" w:rsidRPr="009D668B">
        <w:t xml:space="preserve"> to raise the energy efficiency rating of low income</w:t>
      </w:r>
      <w:r w:rsidR="00670A0B">
        <w:t xml:space="preserve"> (under £30,000 household income)</w:t>
      </w:r>
      <w:r w:rsidR="00A4383F" w:rsidRPr="009D668B">
        <w:t xml:space="preserve"> and low EPC rated households (those with E, F or G</w:t>
      </w:r>
      <w:r w:rsidR="003A0C55">
        <w:t xml:space="preserve"> ratings</w:t>
      </w:r>
      <w:r w:rsidR="008A50FE">
        <w:t>)</w:t>
      </w:r>
      <w:r w:rsidR="003A0C55">
        <w:t>.</w:t>
      </w:r>
      <w:r w:rsidR="00051377" w:rsidRPr="00051377">
        <w:t xml:space="preserve"> </w:t>
      </w:r>
      <w:r w:rsidR="00E65670">
        <w:t>Phase 2 has widened the scope and now includes EPC rated D properties.  Harrow has also included the option in Phase 2 of including the</w:t>
      </w:r>
      <w:r w:rsidR="00051377">
        <w:t xml:space="preserve"> retrofit</w:t>
      </w:r>
      <w:r w:rsidR="00051377" w:rsidRPr="005D0C52">
        <w:t xml:space="preserve"> </w:t>
      </w:r>
      <w:r w:rsidR="00E65670">
        <w:t xml:space="preserve">of </w:t>
      </w:r>
      <w:r w:rsidR="00051377" w:rsidRPr="005D0C52">
        <w:t xml:space="preserve">30 </w:t>
      </w:r>
      <w:r w:rsidR="00051377">
        <w:t xml:space="preserve">Council </w:t>
      </w:r>
      <w:r w:rsidR="00051377" w:rsidRPr="005D0C52">
        <w:t>properties</w:t>
      </w:r>
      <w:r w:rsidR="00051377">
        <w:t>.</w:t>
      </w:r>
    </w:p>
    <w:p w14:paraId="7113941F" w14:textId="77777777" w:rsidR="00E65670" w:rsidRDefault="00E65670" w:rsidP="00164531">
      <w:pPr>
        <w:pStyle w:val="Default"/>
        <w:ind w:left="720" w:hanging="720"/>
      </w:pPr>
    </w:p>
    <w:p w14:paraId="45761731" w14:textId="42484608" w:rsidR="0058484E" w:rsidRPr="0058484E" w:rsidRDefault="000816D6" w:rsidP="00E65670">
      <w:pPr>
        <w:pStyle w:val="Default"/>
        <w:ind w:left="720" w:hanging="720"/>
        <w:rPr>
          <w:color w:val="auto"/>
        </w:rPr>
      </w:pPr>
      <w:r>
        <w:rPr>
          <w:color w:val="auto"/>
        </w:rPr>
        <w:t>2.</w:t>
      </w:r>
      <w:r w:rsidR="00896E33">
        <w:rPr>
          <w:color w:val="auto"/>
        </w:rPr>
        <w:t>4</w:t>
      </w:r>
      <w:r>
        <w:rPr>
          <w:color w:val="auto"/>
        </w:rPr>
        <w:tab/>
      </w:r>
      <w:r w:rsidR="00E65670" w:rsidRPr="0058484E">
        <w:t xml:space="preserve">Landlord grants (for both private and social </w:t>
      </w:r>
      <w:r w:rsidR="00E65670">
        <w:t>rented accommodation</w:t>
      </w:r>
      <w:r w:rsidR="00E65670" w:rsidRPr="0058484E">
        <w:t>) are capped at £5,000</w:t>
      </w:r>
      <w:r w:rsidR="00E65670">
        <w:t xml:space="preserve"> and f</w:t>
      </w:r>
      <w:r w:rsidR="00E65670" w:rsidRPr="0058484E">
        <w:t>or owner occupied properties</w:t>
      </w:r>
      <w:r w:rsidR="00E65670">
        <w:t xml:space="preserve"> </w:t>
      </w:r>
      <w:r w:rsidR="00E65670" w:rsidRPr="0058484E">
        <w:t xml:space="preserve">an ‘average of £10,000’ can be utilised from the GHG: LAD. </w:t>
      </w:r>
      <w:r w:rsidR="00E65670">
        <w:t xml:space="preserve"> </w:t>
      </w:r>
      <w:r w:rsidR="0058484E" w:rsidRPr="0058484E">
        <w:rPr>
          <w:color w:val="auto"/>
        </w:rPr>
        <w:t xml:space="preserve">An allocation of up to £300 per property for enabling works has been </w:t>
      </w:r>
      <w:r w:rsidR="00325128">
        <w:rPr>
          <w:color w:val="auto"/>
        </w:rPr>
        <w:t xml:space="preserve">factored in </w:t>
      </w:r>
      <w:r w:rsidR="0058484E" w:rsidRPr="0058484E">
        <w:rPr>
          <w:color w:val="auto"/>
        </w:rPr>
        <w:t xml:space="preserve">which may include surveys, to ensure that all properties are ready for install, and there will </w:t>
      </w:r>
      <w:r w:rsidR="00164531">
        <w:rPr>
          <w:color w:val="auto"/>
        </w:rPr>
        <w:t>be</w:t>
      </w:r>
      <w:r w:rsidR="00164531" w:rsidRPr="0058484E">
        <w:rPr>
          <w:color w:val="auto"/>
        </w:rPr>
        <w:t xml:space="preserve"> </w:t>
      </w:r>
      <w:r w:rsidR="0058484E" w:rsidRPr="0058484E">
        <w:rPr>
          <w:color w:val="auto"/>
        </w:rPr>
        <w:t xml:space="preserve">some capacity to ‘average’ this if needed, as some properties </w:t>
      </w:r>
      <w:r w:rsidR="00E25FC3">
        <w:rPr>
          <w:color w:val="auto"/>
        </w:rPr>
        <w:t xml:space="preserve">may not </w:t>
      </w:r>
      <w:r w:rsidR="0058484E" w:rsidRPr="0058484E">
        <w:rPr>
          <w:color w:val="auto"/>
        </w:rPr>
        <w:t>require any enabling works. Some boroughs will offer top up funding to ensure that as much funding as possible is utilised across their stock</w:t>
      </w:r>
      <w:r w:rsidR="00E65670">
        <w:rPr>
          <w:color w:val="auto"/>
        </w:rPr>
        <w:t>.  However,</w:t>
      </w:r>
      <w:r w:rsidR="0058484E" w:rsidRPr="0058484E">
        <w:rPr>
          <w:color w:val="auto"/>
        </w:rPr>
        <w:t xml:space="preserve"> Harrow do not have the</w:t>
      </w:r>
      <w:r w:rsidR="0085772C">
        <w:rPr>
          <w:color w:val="auto"/>
        </w:rPr>
        <w:t xml:space="preserve"> </w:t>
      </w:r>
      <w:r w:rsidR="0058484E" w:rsidRPr="0058484E">
        <w:rPr>
          <w:color w:val="auto"/>
        </w:rPr>
        <w:t xml:space="preserve">necessary budget to enable </w:t>
      </w:r>
      <w:r w:rsidR="005160BC" w:rsidRPr="0058484E">
        <w:rPr>
          <w:color w:val="auto"/>
        </w:rPr>
        <w:t>this</w:t>
      </w:r>
      <w:r w:rsidR="00B34D97">
        <w:rPr>
          <w:color w:val="auto"/>
        </w:rPr>
        <w:t xml:space="preserve"> for privately owned properties</w:t>
      </w:r>
      <w:r w:rsidR="005160BC" w:rsidRPr="0058484E">
        <w:rPr>
          <w:color w:val="auto"/>
        </w:rPr>
        <w:t>,</w:t>
      </w:r>
      <w:r w:rsidR="0058484E" w:rsidRPr="0058484E">
        <w:rPr>
          <w:color w:val="auto"/>
        </w:rPr>
        <w:t xml:space="preserve"> and works will be carried out entirely from the capital grant </w:t>
      </w:r>
      <w:r w:rsidR="00002E7C">
        <w:rPr>
          <w:color w:val="auto"/>
        </w:rPr>
        <w:t>support provided directly from Ealing Council</w:t>
      </w:r>
      <w:r w:rsidR="00E65670">
        <w:rPr>
          <w:color w:val="auto"/>
        </w:rPr>
        <w:t>.</w:t>
      </w:r>
      <w:r w:rsidR="00002E7C">
        <w:rPr>
          <w:color w:val="auto"/>
        </w:rPr>
        <w:t xml:space="preserve"> </w:t>
      </w:r>
      <w:r w:rsidR="00E65670">
        <w:rPr>
          <w:color w:val="auto"/>
        </w:rPr>
        <w:t>The Council should note that carbon reduc</w:t>
      </w:r>
      <w:r w:rsidR="00853761">
        <w:rPr>
          <w:color w:val="auto"/>
        </w:rPr>
        <w:t xml:space="preserve">tion </w:t>
      </w:r>
      <w:r w:rsidR="00E65670">
        <w:rPr>
          <w:color w:val="auto"/>
        </w:rPr>
        <w:t>work in Harrow’s private sector stock is a growing area of work and we will be submitting a business case for a part time resource to support delivery in this area.</w:t>
      </w:r>
    </w:p>
    <w:p w14:paraId="5698FB7E" w14:textId="77777777" w:rsidR="003A0C55" w:rsidRDefault="003A0C55" w:rsidP="00EF3611">
      <w:pPr>
        <w:pStyle w:val="Default"/>
      </w:pPr>
    </w:p>
    <w:p w14:paraId="2FB67722" w14:textId="55C66514" w:rsidR="00A4383F" w:rsidRDefault="00D92901" w:rsidP="00EF3611">
      <w:pPr>
        <w:pStyle w:val="Default"/>
      </w:pPr>
      <w:r>
        <w:lastRenderedPageBreak/>
        <w:t>2.</w:t>
      </w:r>
      <w:r w:rsidR="00896E33">
        <w:t>5</w:t>
      </w:r>
      <w:r>
        <w:tab/>
      </w:r>
      <w:r w:rsidR="003A0C55">
        <w:t>T</w:t>
      </w:r>
      <w:r w:rsidR="00A4383F" w:rsidRPr="009D668B">
        <w:t>his is expected to result in the following outcomes:</w:t>
      </w:r>
    </w:p>
    <w:p w14:paraId="4D117346" w14:textId="77777777" w:rsidR="006B5426" w:rsidRPr="009D668B" w:rsidRDefault="006B5426" w:rsidP="00D55C39">
      <w:pPr>
        <w:pStyle w:val="Default"/>
        <w:ind w:left="792"/>
      </w:pPr>
    </w:p>
    <w:p w14:paraId="06052387" w14:textId="714EB23D" w:rsidR="00A4383F" w:rsidRPr="009D668B" w:rsidRDefault="00A4383F" w:rsidP="00A4383F">
      <w:pPr>
        <w:pStyle w:val="Default"/>
        <w:spacing w:after="220"/>
        <w:ind w:left="792"/>
      </w:pPr>
      <w:r w:rsidRPr="009D668B">
        <w:t xml:space="preserve">a. </w:t>
      </w:r>
      <w:r w:rsidRPr="00D55C39">
        <w:rPr>
          <w:b/>
          <w:bCs/>
        </w:rPr>
        <w:t>Tackle fuel poverty</w:t>
      </w:r>
      <w:r w:rsidRPr="009D668B">
        <w:t xml:space="preserve"> by increasing low-income household’s energy efficiency rating and therefore reducing their energy </w:t>
      </w:r>
      <w:r w:rsidR="00842072" w:rsidRPr="009D668B">
        <w:t>bills.</w:t>
      </w:r>
      <w:r w:rsidRPr="009D668B">
        <w:t xml:space="preserve"> </w:t>
      </w:r>
    </w:p>
    <w:p w14:paraId="0E30B329" w14:textId="77777777" w:rsidR="00A4383F" w:rsidRPr="009D668B" w:rsidRDefault="00A4383F" w:rsidP="00A4383F">
      <w:pPr>
        <w:pStyle w:val="Default"/>
        <w:spacing w:after="220"/>
        <w:ind w:left="792"/>
      </w:pPr>
      <w:r w:rsidRPr="009D668B">
        <w:t xml:space="preserve">b. </w:t>
      </w:r>
      <w:r w:rsidRPr="00D55C39">
        <w:rPr>
          <w:b/>
          <w:bCs/>
        </w:rPr>
        <w:t>Support clean growth</w:t>
      </w:r>
      <w:r w:rsidRPr="009D668B">
        <w:t xml:space="preserve"> and ensure homes are thermally comfortable, efficient, and well-adapted to climate change. </w:t>
      </w:r>
    </w:p>
    <w:p w14:paraId="7D55D973" w14:textId="77777777" w:rsidR="00A4383F" w:rsidRPr="009D668B" w:rsidRDefault="00A4383F" w:rsidP="00A4383F">
      <w:pPr>
        <w:pStyle w:val="Default"/>
        <w:spacing w:after="220"/>
        <w:ind w:left="792"/>
      </w:pPr>
      <w:r w:rsidRPr="009D668B">
        <w:t xml:space="preserve">c. </w:t>
      </w:r>
      <w:r w:rsidRPr="00D55C39">
        <w:rPr>
          <w:b/>
          <w:bCs/>
        </w:rPr>
        <w:t xml:space="preserve">Support economic resilience and a green recovery </w:t>
      </w:r>
      <w:r w:rsidRPr="009D668B">
        <w:t xml:space="preserve">in response to the economic impacts of Covid-19, creating thousands of jobs; and </w:t>
      </w:r>
    </w:p>
    <w:p w14:paraId="6183FB66" w14:textId="56868874" w:rsidR="00A4383F" w:rsidRDefault="00A4383F" w:rsidP="00A4383F">
      <w:pPr>
        <w:pStyle w:val="Default"/>
        <w:ind w:left="792"/>
      </w:pPr>
      <w:r w:rsidRPr="009D668B">
        <w:t xml:space="preserve">d. </w:t>
      </w:r>
      <w:r w:rsidRPr="00D55C39">
        <w:rPr>
          <w:b/>
          <w:bCs/>
        </w:rPr>
        <w:t>Use learnings</w:t>
      </w:r>
      <w:r w:rsidRPr="009D668B">
        <w:t xml:space="preserve"> </w:t>
      </w:r>
      <w:r w:rsidRPr="00D55C39">
        <w:rPr>
          <w:b/>
          <w:bCs/>
        </w:rPr>
        <w:t>from the delivery experience</w:t>
      </w:r>
      <w:r w:rsidRPr="009D668B">
        <w:t xml:space="preserve"> to inform the development and design of further energy efficiency and heat schemes. </w:t>
      </w:r>
    </w:p>
    <w:p w14:paraId="022DA615" w14:textId="345A20DE" w:rsidR="00B171BC" w:rsidRDefault="00B171BC" w:rsidP="00A4383F">
      <w:pPr>
        <w:pStyle w:val="Default"/>
        <w:ind w:left="792"/>
      </w:pPr>
    </w:p>
    <w:p w14:paraId="00ABB5BA" w14:textId="634BB7A3" w:rsidR="0023061D" w:rsidRPr="0023061D" w:rsidRDefault="0023061D" w:rsidP="00A4383F">
      <w:pPr>
        <w:pStyle w:val="Default"/>
        <w:ind w:left="792"/>
      </w:pPr>
      <w:r>
        <w:t xml:space="preserve">e. </w:t>
      </w:r>
      <w:r w:rsidRPr="007C568C">
        <w:rPr>
          <w:b/>
          <w:bCs/>
        </w:rPr>
        <w:t>Reduce carbon emissions</w:t>
      </w:r>
      <w:r>
        <w:rPr>
          <w:b/>
          <w:bCs/>
        </w:rPr>
        <w:t xml:space="preserve"> </w:t>
      </w:r>
      <w:r w:rsidR="003173D4">
        <w:t xml:space="preserve">from homes within our boroughs, directly contributing to </w:t>
      </w:r>
      <w:r w:rsidR="0002475F">
        <w:t xml:space="preserve">addressing the declared climate emergency. </w:t>
      </w:r>
    </w:p>
    <w:p w14:paraId="6380D65C" w14:textId="77777777" w:rsidR="00D55C39" w:rsidRPr="00434953" w:rsidRDefault="00D55C39" w:rsidP="00D55C39">
      <w:pPr>
        <w:pStyle w:val="Default"/>
        <w:rPr>
          <w:color w:val="auto"/>
        </w:rPr>
      </w:pPr>
    </w:p>
    <w:p w14:paraId="66E73375" w14:textId="35ECD578" w:rsidR="006B5426" w:rsidRPr="009D668B" w:rsidRDefault="006B5426" w:rsidP="000816D6">
      <w:pPr>
        <w:pStyle w:val="Default"/>
        <w:spacing w:after="220"/>
        <w:ind w:firstLine="720"/>
      </w:pPr>
      <w:r w:rsidRPr="009D668B">
        <w:t>Partners includ</w:t>
      </w:r>
      <w:r w:rsidR="00113829">
        <w:t>e</w:t>
      </w:r>
      <w:r w:rsidRPr="009D668B">
        <w:t>:</w:t>
      </w:r>
    </w:p>
    <w:p w14:paraId="4EADEC44" w14:textId="59C623C6" w:rsidR="006B5426" w:rsidRPr="009D668B" w:rsidRDefault="006B5426" w:rsidP="007D2F57">
      <w:pPr>
        <w:pStyle w:val="Default"/>
        <w:numPr>
          <w:ilvl w:val="2"/>
          <w:numId w:val="7"/>
        </w:numPr>
      </w:pPr>
      <w:r w:rsidRPr="009D668B">
        <w:t xml:space="preserve">London Borough of </w:t>
      </w:r>
      <w:r w:rsidR="00113829" w:rsidRPr="009D668B">
        <w:t>Harrow</w:t>
      </w:r>
      <w:r w:rsidRPr="009D668B">
        <w:t xml:space="preserve">; </w:t>
      </w:r>
    </w:p>
    <w:p w14:paraId="014DC19A" w14:textId="77777777" w:rsidR="006B5426" w:rsidRPr="009D668B" w:rsidRDefault="006B5426" w:rsidP="007D2F57">
      <w:pPr>
        <w:pStyle w:val="Default"/>
        <w:numPr>
          <w:ilvl w:val="2"/>
          <w:numId w:val="7"/>
        </w:numPr>
      </w:pPr>
      <w:r w:rsidRPr="009D668B">
        <w:t xml:space="preserve">London Borough of Hammersmith &amp; Fulham; </w:t>
      </w:r>
    </w:p>
    <w:p w14:paraId="1F08DCB5" w14:textId="21575233" w:rsidR="006B5426" w:rsidRPr="009D668B" w:rsidRDefault="006B5426" w:rsidP="007D2F57">
      <w:pPr>
        <w:pStyle w:val="Default"/>
        <w:numPr>
          <w:ilvl w:val="2"/>
          <w:numId w:val="7"/>
        </w:numPr>
      </w:pPr>
      <w:r w:rsidRPr="009D668B">
        <w:t>London Borough of</w:t>
      </w:r>
      <w:r w:rsidR="00113829" w:rsidRPr="00113829">
        <w:t xml:space="preserve"> </w:t>
      </w:r>
      <w:r w:rsidR="00113829" w:rsidRPr="009D668B">
        <w:t>Brent</w:t>
      </w:r>
      <w:r w:rsidRPr="009D668B">
        <w:t xml:space="preserve">; </w:t>
      </w:r>
    </w:p>
    <w:p w14:paraId="3207C23B" w14:textId="77777777" w:rsidR="006B5426" w:rsidRPr="009D668B" w:rsidRDefault="006B5426" w:rsidP="007D2F57">
      <w:pPr>
        <w:pStyle w:val="Default"/>
        <w:numPr>
          <w:ilvl w:val="2"/>
          <w:numId w:val="7"/>
        </w:numPr>
      </w:pPr>
      <w:r w:rsidRPr="009D668B">
        <w:t xml:space="preserve">London Borough of Hounslow; </w:t>
      </w:r>
    </w:p>
    <w:p w14:paraId="6EB3126E" w14:textId="77777777" w:rsidR="006B5426" w:rsidRPr="009D668B" w:rsidRDefault="006B5426" w:rsidP="007D2F57">
      <w:pPr>
        <w:pStyle w:val="Default"/>
        <w:numPr>
          <w:ilvl w:val="2"/>
          <w:numId w:val="7"/>
        </w:numPr>
      </w:pPr>
      <w:r w:rsidRPr="009D668B">
        <w:t xml:space="preserve">London Borough of Lambeth; </w:t>
      </w:r>
    </w:p>
    <w:p w14:paraId="25BB5312" w14:textId="77777777" w:rsidR="00D62D88" w:rsidRDefault="006B5426" w:rsidP="007D2F57">
      <w:pPr>
        <w:pStyle w:val="Default"/>
        <w:numPr>
          <w:ilvl w:val="2"/>
          <w:numId w:val="7"/>
        </w:numPr>
      </w:pPr>
      <w:r w:rsidRPr="009D668B">
        <w:t>Royal Borough of Kensington &amp; Chelsea</w:t>
      </w:r>
    </w:p>
    <w:p w14:paraId="397BBFA4" w14:textId="3EF4E708" w:rsidR="00D55C39" w:rsidRDefault="006D2E11" w:rsidP="000816D6">
      <w:pPr>
        <w:pStyle w:val="Default"/>
        <w:ind w:left="1224"/>
      </w:pPr>
      <w:r>
        <w:rPr>
          <w:noProof/>
        </w:rPr>
        <mc:AlternateContent>
          <mc:Choice Requires="aink">
            <w:drawing>
              <wp:anchor distT="0" distB="0" distL="114300" distR="114300" simplePos="0" relativeHeight="251655168" behindDoc="0" locked="0" layoutInCell="1" allowOverlap="1" wp14:anchorId="2D8E8E12" wp14:editId="4A5B1B3C">
                <wp:simplePos x="0" y="0"/>
                <wp:positionH relativeFrom="column">
                  <wp:posOffset>4412880</wp:posOffset>
                </wp:positionH>
                <wp:positionV relativeFrom="paragraph">
                  <wp:posOffset>194735</wp:posOffset>
                </wp:positionV>
                <wp:extent cx="360" cy="360"/>
                <wp:effectExtent l="57150" t="38100" r="38100" b="57150"/>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drawing>
              <wp:anchor distT="0" distB="0" distL="114300" distR="114300" simplePos="0" relativeHeight="251655168" behindDoc="0" locked="0" layoutInCell="1" allowOverlap="1" wp14:anchorId="2D8E8E12" wp14:editId="4A5B1B3C">
                <wp:simplePos x="0" y="0"/>
                <wp:positionH relativeFrom="column">
                  <wp:posOffset>4412880</wp:posOffset>
                </wp:positionH>
                <wp:positionV relativeFrom="paragraph">
                  <wp:posOffset>194735</wp:posOffset>
                </wp:positionV>
                <wp:extent cx="360" cy="360"/>
                <wp:effectExtent l="57150" t="3810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17"/>
                        <a:stretch>
                          <a:fillRect/>
                        </a:stretch>
                      </pic:blipFill>
                      <pic:spPr>
                        <a:xfrm>
                          <a:off x="0" y="0"/>
                          <a:ext cx="36000" cy="216000"/>
                        </a:xfrm>
                        <a:prstGeom prst="rect">
                          <a:avLst/>
                        </a:prstGeom>
                      </pic:spPr>
                    </pic:pic>
                  </a:graphicData>
                </a:graphic>
              </wp:anchor>
            </w:drawing>
          </mc:Fallback>
        </mc:AlternateContent>
      </w:r>
      <w:r w:rsidR="00981307">
        <w:t xml:space="preserve">and for </w:t>
      </w:r>
      <w:r w:rsidR="00E65670">
        <w:t xml:space="preserve">Phase </w:t>
      </w:r>
      <w:r w:rsidR="00587EFA">
        <w:t>2 the</w:t>
      </w:r>
      <w:r w:rsidR="00981307">
        <w:t xml:space="preserve"> additional Boroughs </w:t>
      </w:r>
      <w:r w:rsidR="0071299F">
        <w:t>that have join</w:t>
      </w:r>
      <w:r w:rsidR="00E65670">
        <w:t>ed for this phase</w:t>
      </w:r>
      <w:r w:rsidR="0071299F">
        <w:t xml:space="preserve"> </w:t>
      </w:r>
      <w:proofErr w:type="gramStart"/>
      <w:r w:rsidR="00981307">
        <w:t>are:-</w:t>
      </w:r>
      <w:proofErr w:type="gramEnd"/>
    </w:p>
    <w:p w14:paraId="236A57CB" w14:textId="05F61878" w:rsidR="00981307" w:rsidRDefault="00AD53BC" w:rsidP="007D2F57">
      <w:pPr>
        <w:pStyle w:val="Default"/>
        <w:numPr>
          <w:ilvl w:val="2"/>
          <w:numId w:val="7"/>
        </w:numPr>
      </w:pPr>
      <w:r w:rsidRPr="009D668B">
        <w:t xml:space="preserve">London Borough of </w:t>
      </w:r>
      <w:r w:rsidR="00981307">
        <w:rPr>
          <w:noProof/>
        </w:rPr>
        <w:t>Hillingdon</w:t>
      </w:r>
    </w:p>
    <w:p w14:paraId="391EFF2F" w14:textId="49C6A7B6" w:rsidR="00981307" w:rsidRDefault="00AD53BC" w:rsidP="007D2F57">
      <w:pPr>
        <w:pStyle w:val="Default"/>
        <w:numPr>
          <w:ilvl w:val="2"/>
          <w:numId w:val="7"/>
        </w:numPr>
      </w:pPr>
      <w:r w:rsidRPr="009D668B">
        <w:t xml:space="preserve">London Borough of </w:t>
      </w:r>
      <w:r w:rsidR="00981307">
        <w:rPr>
          <w:noProof/>
        </w:rPr>
        <w:t>Newham</w:t>
      </w:r>
    </w:p>
    <w:p w14:paraId="4A51D39A" w14:textId="05B4E1C0" w:rsidR="00981307" w:rsidRDefault="00AD53BC" w:rsidP="007D2F57">
      <w:pPr>
        <w:pStyle w:val="Default"/>
        <w:numPr>
          <w:ilvl w:val="2"/>
          <w:numId w:val="7"/>
        </w:numPr>
      </w:pPr>
      <w:r w:rsidRPr="009D668B">
        <w:t xml:space="preserve">London Borough of </w:t>
      </w:r>
      <w:r w:rsidR="00981307">
        <w:rPr>
          <w:noProof/>
        </w:rPr>
        <w:t>Barnet</w:t>
      </w:r>
    </w:p>
    <w:p w14:paraId="01DC2F68" w14:textId="77777777" w:rsidR="00D55C39" w:rsidRDefault="00D55C39" w:rsidP="00993865">
      <w:pPr>
        <w:pStyle w:val="Default"/>
        <w:spacing w:after="220"/>
        <w:ind w:left="360"/>
      </w:pPr>
    </w:p>
    <w:p w14:paraId="2298652E" w14:textId="7592E8A9" w:rsidR="00A324C6" w:rsidRPr="007E76DA" w:rsidRDefault="00D92901" w:rsidP="00A324C6">
      <w:pPr>
        <w:spacing w:after="120"/>
        <w:ind w:left="720" w:hanging="720"/>
        <w:jc w:val="both"/>
        <w:rPr>
          <w:rFonts w:cs="Arial"/>
          <w:bCs/>
          <w:szCs w:val="24"/>
        </w:rPr>
      </w:pPr>
      <w:r>
        <w:rPr>
          <w:bCs/>
          <w:szCs w:val="24"/>
        </w:rPr>
        <w:t>2.</w:t>
      </w:r>
      <w:r w:rsidR="00896E33">
        <w:rPr>
          <w:bCs/>
          <w:szCs w:val="24"/>
        </w:rPr>
        <w:t>6</w:t>
      </w:r>
      <w:r>
        <w:rPr>
          <w:bCs/>
          <w:szCs w:val="24"/>
        </w:rPr>
        <w:tab/>
      </w:r>
      <w:r w:rsidR="00A324C6" w:rsidRPr="007E76DA">
        <w:rPr>
          <w:rFonts w:cs="Arial"/>
          <w:bCs/>
          <w:szCs w:val="24"/>
        </w:rPr>
        <w:t xml:space="preserve">Ealing Council led a successful seven-borough partnership bid for grant funding for the Green Homes Grant: Local Authority Delivery Scheme Phase 1a (as it is now known), focusing on delivering private-sector energy efficiency retrofits, through a centralised delivery agent. The full grant award is £4.78m from the Department for Business, Energy and Industrial Strategy (BEIS), with the intent to be shared equally amongst the partnership boroughs. This award was agreed by Cabinet in </w:t>
      </w:r>
      <w:r w:rsidR="005A57BF">
        <w:rPr>
          <w:rFonts w:cs="Arial"/>
          <w:bCs/>
          <w:szCs w:val="24"/>
        </w:rPr>
        <w:t>January 2021.</w:t>
      </w:r>
    </w:p>
    <w:p w14:paraId="4B6E60B7" w14:textId="766FC28F" w:rsidR="00A324C6" w:rsidRPr="007E76DA" w:rsidRDefault="005A57BF" w:rsidP="005A57BF">
      <w:pPr>
        <w:spacing w:after="120"/>
        <w:ind w:left="720" w:hanging="720"/>
        <w:jc w:val="both"/>
        <w:rPr>
          <w:rFonts w:cs="Arial"/>
          <w:bCs/>
          <w:szCs w:val="24"/>
        </w:rPr>
      </w:pPr>
      <w:r>
        <w:rPr>
          <w:rFonts w:cs="Arial"/>
          <w:bCs/>
          <w:szCs w:val="24"/>
        </w:rPr>
        <w:t>2.</w:t>
      </w:r>
      <w:r w:rsidR="00896E33">
        <w:rPr>
          <w:rFonts w:cs="Arial"/>
          <w:bCs/>
          <w:szCs w:val="24"/>
        </w:rPr>
        <w:t>7</w:t>
      </w:r>
      <w:r>
        <w:rPr>
          <w:rFonts w:cs="Arial"/>
          <w:bCs/>
          <w:szCs w:val="24"/>
        </w:rPr>
        <w:tab/>
      </w:r>
      <w:r w:rsidR="00A324C6" w:rsidRPr="007E76DA">
        <w:rPr>
          <w:rFonts w:cs="Arial"/>
          <w:bCs/>
          <w:szCs w:val="24"/>
        </w:rPr>
        <w:t>The OJEU competitive tender process completed to secure a delivery partner for Phase 1a included information to bidders in anticipation of programme expansion, should further funding be awarded to the partnership. The ITT describe</w:t>
      </w:r>
      <w:r w:rsidR="00E35DDF">
        <w:rPr>
          <w:rFonts w:cs="Arial"/>
          <w:bCs/>
          <w:szCs w:val="24"/>
        </w:rPr>
        <w:t>d</w:t>
      </w:r>
      <w:r w:rsidR="00A324C6" w:rsidRPr="007E76DA">
        <w:rPr>
          <w:rFonts w:cs="Arial"/>
          <w:bCs/>
          <w:szCs w:val="24"/>
        </w:rPr>
        <w:t xml:space="preserve"> the project as having a potential total value of £19.283m</w:t>
      </w:r>
      <w:r w:rsidR="00E35DDF">
        <w:rPr>
          <w:rFonts w:cs="Arial"/>
          <w:bCs/>
          <w:szCs w:val="24"/>
        </w:rPr>
        <w:t xml:space="preserve"> to accommodate an expansion of the scheme into a phase 2</w:t>
      </w:r>
      <w:r w:rsidR="00A324C6" w:rsidRPr="007E76DA">
        <w:rPr>
          <w:rFonts w:cs="Arial"/>
          <w:bCs/>
          <w:szCs w:val="24"/>
        </w:rPr>
        <w:t>.</w:t>
      </w:r>
    </w:p>
    <w:p w14:paraId="64811F80" w14:textId="4D71E96D" w:rsidR="00A324C6" w:rsidRPr="007E76DA" w:rsidRDefault="005A57BF" w:rsidP="005A57BF">
      <w:pPr>
        <w:spacing w:after="120"/>
        <w:ind w:left="720" w:hanging="720"/>
        <w:jc w:val="both"/>
        <w:rPr>
          <w:rFonts w:cs="Arial"/>
          <w:bCs/>
          <w:szCs w:val="24"/>
        </w:rPr>
      </w:pPr>
      <w:r>
        <w:rPr>
          <w:rFonts w:cs="Arial"/>
          <w:bCs/>
          <w:szCs w:val="24"/>
        </w:rPr>
        <w:t>2.</w:t>
      </w:r>
      <w:r w:rsidR="00896E33">
        <w:rPr>
          <w:rFonts w:cs="Arial"/>
          <w:bCs/>
          <w:szCs w:val="24"/>
        </w:rPr>
        <w:t>8</w:t>
      </w:r>
      <w:r>
        <w:rPr>
          <w:rFonts w:cs="Arial"/>
          <w:bCs/>
          <w:szCs w:val="24"/>
        </w:rPr>
        <w:tab/>
      </w:r>
      <w:r w:rsidR="00A324C6" w:rsidRPr="007E76DA">
        <w:rPr>
          <w:rFonts w:cs="Arial"/>
          <w:bCs/>
          <w:szCs w:val="24"/>
        </w:rPr>
        <w:t xml:space="preserve">The Secretary of State and Department of Business, Energy, and Industrial Strategy (BEIS) have now announced non-competitive funding allocations for each borough under Phase 2 of the scheme. Phase 2 delivery is proposed to be an expansion of the current delivery model, with the addition of five boroughs, now including: London Boroughs of </w:t>
      </w:r>
      <w:r w:rsidR="00A324C6" w:rsidRPr="007E76DA">
        <w:rPr>
          <w:rFonts w:cs="Arial"/>
          <w:bCs/>
          <w:szCs w:val="24"/>
        </w:rPr>
        <w:lastRenderedPageBreak/>
        <w:t>Barnet*</w:t>
      </w:r>
      <w:r w:rsidR="00A324C6" w:rsidRPr="007E76DA">
        <w:rPr>
          <w:rStyle w:val="FootnoteReference"/>
          <w:rFonts w:cs="Arial"/>
          <w:bCs/>
          <w:szCs w:val="24"/>
        </w:rPr>
        <w:footnoteReference w:id="1"/>
      </w:r>
      <w:r w:rsidR="00A324C6" w:rsidRPr="007E76DA">
        <w:rPr>
          <w:rFonts w:cs="Arial"/>
          <w:bCs/>
          <w:szCs w:val="24"/>
        </w:rPr>
        <w:t xml:space="preserve">, Brent, Hammersmith &amp; Fulham, Harrow, Hillingdon*, Hounslow, Lambeth, Newham*, Richmond*, Wandsworth*, and The Royal Borough of Kensington &amp; Chelsea. The Phase 2 </w:t>
      </w:r>
      <w:proofErr w:type="gramStart"/>
      <w:r w:rsidR="00A324C6" w:rsidRPr="007E76DA">
        <w:rPr>
          <w:rFonts w:cs="Arial"/>
          <w:bCs/>
          <w:szCs w:val="24"/>
        </w:rPr>
        <w:t>GHG:LAD</w:t>
      </w:r>
      <w:proofErr w:type="gramEnd"/>
      <w:r w:rsidR="00A324C6" w:rsidRPr="007E76DA">
        <w:rPr>
          <w:rFonts w:cs="Arial"/>
          <w:bCs/>
          <w:szCs w:val="24"/>
        </w:rPr>
        <w:t xml:space="preserve"> scheme is managed by the Greater South East Energy Hub (GSEEH) on behalf of BEIS.</w:t>
      </w:r>
    </w:p>
    <w:p w14:paraId="48A2553B" w14:textId="4474DFC2" w:rsidR="00A324C6" w:rsidRPr="007E76DA" w:rsidRDefault="005A57BF" w:rsidP="005A57BF">
      <w:pPr>
        <w:spacing w:after="120"/>
        <w:ind w:left="720" w:hanging="720"/>
        <w:jc w:val="both"/>
        <w:rPr>
          <w:rFonts w:cs="Arial"/>
          <w:bCs/>
          <w:szCs w:val="24"/>
        </w:rPr>
      </w:pPr>
      <w:r>
        <w:rPr>
          <w:rFonts w:cs="Arial"/>
          <w:bCs/>
          <w:szCs w:val="24"/>
        </w:rPr>
        <w:t>2.</w:t>
      </w:r>
      <w:r w:rsidR="00896E33">
        <w:rPr>
          <w:rFonts w:cs="Arial"/>
          <w:bCs/>
          <w:szCs w:val="24"/>
        </w:rPr>
        <w:t>9</w:t>
      </w:r>
      <w:r>
        <w:rPr>
          <w:rFonts w:cs="Arial"/>
          <w:bCs/>
          <w:szCs w:val="24"/>
        </w:rPr>
        <w:tab/>
      </w:r>
      <w:r w:rsidR="00A324C6" w:rsidRPr="007E76DA">
        <w:rPr>
          <w:rFonts w:cs="Arial"/>
          <w:bCs/>
          <w:szCs w:val="24"/>
        </w:rPr>
        <w:t xml:space="preserve">The aim of Phase 2 is to deliver at least 1200 additional retrofits to fuel poor households in member borough boundaries (Phase 1a will deliver at least 400). The partnership will strive to </w:t>
      </w:r>
      <w:r w:rsidR="004135A3">
        <w:rPr>
          <w:rFonts w:cs="Arial"/>
          <w:bCs/>
          <w:szCs w:val="24"/>
        </w:rPr>
        <w:t xml:space="preserve">spend </w:t>
      </w:r>
      <w:r w:rsidR="00A324C6" w:rsidRPr="007E76DA">
        <w:rPr>
          <w:rFonts w:cs="Arial"/>
          <w:bCs/>
          <w:szCs w:val="24"/>
        </w:rPr>
        <w:t xml:space="preserve">each borough’s indicative </w:t>
      </w:r>
      <w:r w:rsidR="000D15B2">
        <w:rPr>
          <w:rFonts w:cs="Arial"/>
          <w:bCs/>
          <w:szCs w:val="24"/>
        </w:rPr>
        <w:t xml:space="preserve">allocated </w:t>
      </w:r>
      <w:r w:rsidR="00A324C6" w:rsidRPr="007E76DA">
        <w:rPr>
          <w:rFonts w:cs="Arial"/>
          <w:bCs/>
          <w:szCs w:val="24"/>
        </w:rPr>
        <w:t xml:space="preserve">funding </w:t>
      </w:r>
      <w:r w:rsidR="004135A3">
        <w:rPr>
          <w:rFonts w:cs="Arial"/>
          <w:bCs/>
          <w:szCs w:val="24"/>
        </w:rPr>
        <w:t xml:space="preserve">on retrofit works </w:t>
      </w:r>
      <w:r w:rsidR="00A324C6" w:rsidRPr="007E76DA">
        <w:rPr>
          <w:rFonts w:cs="Arial"/>
          <w:bCs/>
          <w:szCs w:val="24"/>
        </w:rPr>
        <w:t xml:space="preserve">within that borough; however, this will fluctuate widely due to resources available within each partner borough and finding sufficient volumes of housing typologies that lend themselves to retrofitting, i.e., flats and conservation properties are more challenging to retrofit. The terms of Phase 2 allow indicative allocations to be reallocated within </w:t>
      </w:r>
      <w:r w:rsidR="00CE3FDB">
        <w:rPr>
          <w:rFonts w:cs="Arial"/>
          <w:bCs/>
          <w:szCs w:val="24"/>
        </w:rPr>
        <w:t>consortiums</w:t>
      </w:r>
      <w:r w:rsidR="00A324C6" w:rsidRPr="007E76DA">
        <w:rPr>
          <w:rFonts w:cs="Arial"/>
          <w:bCs/>
          <w:szCs w:val="24"/>
        </w:rPr>
        <w:t xml:space="preserve"> at regular intervals to ensure that funding is used in full. </w:t>
      </w:r>
    </w:p>
    <w:p w14:paraId="16AC8936" w14:textId="39276ED8" w:rsidR="00A324C6" w:rsidRPr="007E76DA" w:rsidRDefault="000B5E53" w:rsidP="000B5E53">
      <w:pPr>
        <w:spacing w:after="120"/>
        <w:ind w:left="720" w:hanging="720"/>
        <w:jc w:val="both"/>
        <w:rPr>
          <w:rFonts w:cs="Arial"/>
          <w:bCs/>
          <w:szCs w:val="24"/>
        </w:rPr>
      </w:pPr>
      <w:r>
        <w:rPr>
          <w:rFonts w:cs="Arial"/>
          <w:bCs/>
          <w:szCs w:val="24"/>
        </w:rPr>
        <w:t>2.1</w:t>
      </w:r>
      <w:r w:rsidR="00896E33">
        <w:rPr>
          <w:rFonts w:cs="Arial"/>
          <w:bCs/>
          <w:szCs w:val="24"/>
        </w:rPr>
        <w:t>0</w:t>
      </w:r>
      <w:r>
        <w:rPr>
          <w:rFonts w:cs="Arial"/>
          <w:bCs/>
          <w:szCs w:val="24"/>
        </w:rPr>
        <w:tab/>
      </w:r>
      <w:r w:rsidR="00A324C6" w:rsidRPr="007E76DA">
        <w:rPr>
          <w:rFonts w:cs="Arial"/>
          <w:bCs/>
          <w:szCs w:val="24"/>
        </w:rPr>
        <w:t xml:space="preserve">The delivery model maintains Ealing as the lead </w:t>
      </w:r>
      <w:r w:rsidR="00F53D11">
        <w:rPr>
          <w:rFonts w:cs="Arial"/>
          <w:bCs/>
          <w:szCs w:val="24"/>
        </w:rPr>
        <w:t xml:space="preserve">local </w:t>
      </w:r>
      <w:r w:rsidR="00A324C6" w:rsidRPr="007E76DA">
        <w:rPr>
          <w:rFonts w:cs="Arial"/>
          <w:bCs/>
          <w:szCs w:val="24"/>
        </w:rPr>
        <w:t>authority</w:t>
      </w:r>
      <w:r w:rsidR="00BD5C49">
        <w:rPr>
          <w:rFonts w:cs="Arial"/>
          <w:bCs/>
          <w:szCs w:val="24"/>
        </w:rPr>
        <w:t xml:space="preserve"> for the consortium</w:t>
      </w:r>
      <w:r w:rsidR="00A324C6" w:rsidRPr="007E76DA">
        <w:rPr>
          <w:rFonts w:cs="Arial"/>
          <w:bCs/>
          <w:szCs w:val="24"/>
        </w:rPr>
        <w:t xml:space="preserve">, responsible for project management and invoice payments. Ealing officer time, over a 39-week period is fully covered by the grant. All supporting services, such as Ealing’s procurement, finance and legal fees attributable to the project will be recharged to the grant. </w:t>
      </w:r>
    </w:p>
    <w:p w14:paraId="741888BF" w14:textId="19A18682" w:rsidR="00A324C6" w:rsidRPr="007E76DA" w:rsidRDefault="000B5E53" w:rsidP="000B5E53">
      <w:pPr>
        <w:spacing w:after="120"/>
        <w:ind w:left="720" w:hanging="720"/>
        <w:jc w:val="both"/>
        <w:rPr>
          <w:rFonts w:cs="Arial"/>
          <w:bCs/>
          <w:szCs w:val="24"/>
        </w:rPr>
      </w:pPr>
      <w:r>
        <w:rPr>
          <w:rFonts w:cs="Arial"/>
          <w:bCs/>
          <w:szCs w:val="24"/>
        </w:rPr>
        <w:t>2.1</w:t>
      </w:r>
      <w:r w:rsidR="00896E33">
        <w:rPr>
          <w:rFonts w:cs="Arial"/>
          <w:bCs/>
          <w:szCs w:val="24"/>
        </w:rPr>
        <w:t>1</w:t>
      </w:r>
      <w:r>
        <w:rPr>
          <w:rFonts w:cs="Arial"/>
          <w:bCs/>
          <w:szCs w:val="24"/>
        </w:rPr>
        <w:tab/>
      </w:r>
      <w:r w:rsidR="00A324C6" w:rsidRPr="007E76DA">
        <w:rPr>
          <w:rFonts w:cs="Arial"/>
          <w:bCs/>
          <w:szCs w:val="24"/>
        </w:rPr>
        <w:t xml:space="preserve">Back-to-back interborough agreements with each partner have been created to clarify responsibilities and tasks of </w:t>
      </w:r>
      <w:r w:rsidR="000924FE">
        <w:rPr>
          <w:rFonts w:cs="Arial"/>
          <w:bCs/>
          <w:szCs w:val="24"/>
        </w:rPr>
        <w:t>each</w:t>
      </w:r>
      <w:r w:rsidR="00A324C6" w:rsidRPr="007E76DA">
        <w:rPr>
          <w:rFonts w:cs="Arial"/>
          <w:bCs/>
          <w:szCs w:val="24"/>
        </w:rPr>
        <w:t xml:space="preserve"> “member borough”, including but not limited to data handling, communications and marketing and risk mitigation. The project board has agreed to create an addendum to this agreement for the five new partners in Phase 2.</w:t>
      </w:r>
    </w:p>
    <w:p w14:paraId="6C430710" w14:textId="79EFF9F9" w:rsidR="00A324C6" w:rsidRPr="007E76DA" w:rsidRDefault="000B5E53" w:rsidP="000B5E53">
      <w:pPr>
        <w:spacing w:after="120"/>
        <w:ind w:left="720" w:hanging="720"/>
        <w:jc w:val="both"/>
        <w:rPr>
          <w:rFonts w:cs="Arial"/>
          <w:bCs/>
          <w:szCs w:val="24"/>
        </w:rPr>
      </w:pPr>
      <w:r>
        <w:rPr>
          <w:rFonts w:cs="Arial"/>
          <w:bCs/>
          <w:szCs w:val="24"/>
        </w:rPr>
        <w:t>2.1</w:t>
      </w:r>
      <w:r w:rsidR="00896E33">
        <w:rPr>
          <w:rFonts w:cs="Arial"/>
          <w:bCs/>
          <w:szCs w:val="24"/>
        </w:rPr>
        <w:t>2</w:t>
      </w:r>
      <w:r>
        <w:rPr>
          <w:rFonts w:cs="Arial"/>
          <w:bCs/>
          <w:szCs w:val="24"/>
        </w:rPr>
        <w:tab/>
      </w:r>
      <w:r w:rsidR="00A324C6" w:rsidRPr="007E76DA">
        <w:rPr>
          <w:rFonts w:cs="Arial"/>
          <w:bCs/>
          <w:szCs w:val="24"/>
        </w:rPr>
        <w:t>A specialist construction project manager and supervisor have been contracted by Ealing to manage the construction and quality assurance elements of the programme under Phase 1a and will be retained for those aspects of Phase 2 which are not covered by the Managing Agent scope. The grant covers the full salary of these fixed-term project delivery positions for Phase 2. Additional quality assurance and project management support is offered by the GSEEH and will be used to the full extent possible to reduce administrative costs.</w:t>
      </w:r>
    </w:p>
    <w:p w14:paraId="6272DE6E" w14:textId="5F956A58" w:rsidR="00A324C6" w:rsidRPr="007E76DA" w:rsidRDefault="000B5E53" w:rsidP="000B5E53">
      <w:pPr>
        <w:spacing w:after="120"/>
        <w:ind w:left="720" w:hanging="720"/>
        <w:jc w:val="both"/>
        <w:rPr>
          <w:rFonts w:cs="Arial"/>
          <w:szCs w:val="24"/>
        </w:rPr>
      </w:pPr>
      <w:r>
        <w:rPr>
          <w:rFonts w:cs="Arial"/>
          <w:bCs/>
          <w:szCs w:val="24"/>
        </w:rPr>
        <w:t>2.1</w:t>
      </w:r>
      <w:r w:rsidR="00896E33">
        <w:rPr>
          <w:rFonts w:cs="Arial"/>
          <w:bCs/>
          <w:szCs w:val="24"/>
        </w:rPr>
        <w:t>3</w:t>
      </w:r>
      <w:r>
        <w:rPr>
          <w:rFonts w:cs="Arial"/>
          <w:bCs/>
          <w:szCs w:val="24"/>
        </w:rPr>
        <w:tab/>
      </w:r>
      <w:r w:rsidR="00BF6F01">
        <w:rPr>
          <w:rFonts w:cs="Arial"/>
          <w:bCs/>
          <w:szCs w:val="24"/>
        </w:rPr>
        <w:t xml:space="preserve">The </w:t>
      </w:r>
      <w:r w:rsidR="00CE3FDB">
        <w:rPr>
          <w:rFonts w:cs="Arial"/>
          <w:bCs/>
          <w:szCs w:val="24"/>
        </w:rPr>
        <w:t>consortium</w:t>
      </w:r>
      <w:r w:rsidR="007F7BB9">
        <w:rPr>
          <w:rFonts w:cs="Arial"/>
          <w:bCs/>
          <w:szCs w:val="24"/>
        </w:rPr>
        <w:t xml:space="preserve"> has bid under </w:t>
      </w:r>
      <w:r w:rsidR="00A324C6" w:rsidRPr="007E76DA">
        <w:rPr>
          <w:rFonts w:cs="Arial"/>
          <w:bCs/>
          <w:szCs w:val="24"/>
        </w:rPr>
        <w:t>Phase 3 of the Green Homes Grant: Local Authority Delivery scheme</w:t>
      </w:r>
      <w:r w:rsidR="007F7BB9">
        <w:rPr>
          <w:rFonts w:cs="Arial"/>
          <w:bCs/>
          <w:szCs w:val="24"/>
        </w:rPr>
        <w:t>.  This will run</w:t>
      </w:r>
      <w:r w:rsidR="00A324C6" w:rsidRPr="007E76DA">
        <w:rPr>
          <w:rFonts w:cs="Arial"/>
          <w:bCs/>
          <w:szCs w:val="24"/>
        </w:rPr>
        <w:t xml:space="preserve"> concurrently the Home Upgrade Grant (HUG) scheme</w:t>
      </w:r>
      <w:r w:rsidR="00221990">
        <w:rPr>
          <w:rFonts w:cs="Arial"/>
          <w:bCs/>
          <w:szCs w:val="24"/>
        </w:rPr>
        <w:t xml:space="preserve"> </w:t>
      </w:r>
      <w:r w:rsidR="00A324C6" w:rsidRPr="007E76DA">
        <w:rPr>
          <w:rFonts w:cs="Arial"/>
          <w:bCs/>
          <w:szCs w:val="24"/>
        </w:rPr>
        <w:t xml:space="preserve">and initial indications from BEIS are that the joint </w:t>
      </w:r>
      <w:proofErr w:type="gramStart"/>
      <w:r w:rsidR="00A324C6" w:rsidRPr="007E76DA">
        <w:rPr>
          <w:rFonts w:cs="Arial"/>
          <w:bCs/>
          <w:szCs w:val="24"/>
        </w:rPr>
        <w:t>GHG:LAD</w:t>
      </w:r>
      <w:proofErr w:type="gramEnd"/>
      <w:r w:rsidR="00A324C6" w:rsidRPr="007E76DA">
        <w:rPr>
          <w:rFonts w:cs="Arial"/>
          <w:bCs/>
          <w:szCs w:val="24"/>
        </w:rPr>
        <w:t xml:space="preserve">/HUG scheme will extend into fiscal year 2022/23. </w:t>
      </w:r>
    </w:p>
    <w:p w14:paraId="0A078380" w14:textId="4A5E868E" w:rsidR="00AD1E77" w:rsidRDefault="00B5693E" w:rsidP="00A1211C">
      <w:pPr>
        <w:pStyle w:val="Heading3"/>
        <w:spacing w:before="240"/>
        <w:ind w:left="0" w:firstLine="0"/>
        <w:jc w:val="left"/>
      </w:pPr>
      <w:bookmarkStart w:id="2" w:name="_Hlk61006419"/>
      <w:r>
        <w:t>3.</w:t>
      </w:r>
      <w:r w:rsidR="00002F2F">
        <w:tab/>
      </w:r>
      <w:r w:rsidR="001C7E35">
        <w:t xml:space="preserve">Options considered  </w:t>
      </w:r>
    </w:p>
    <w:p w14:paraId="56D291DD" w14:textId="77777777" w:rsidR="00430D1C" w:rsidRDefault="00430D1C" w:rsidP="00AD1E77">
      <w:pPr>
        <w:rPr>
          <w:b/>
          <w:color w:val="FF0000"/>
        </w:rPr>
      </w:pPr>
    </w:p>
    <w:p w14:paraId="1DE70370" w14:textId="0FF498D6" w:rsidR="00430D1C" w:rsidRPr="00990507" w:rsidRDefault="0078260B" w:rsidP="0078260B">
      <w:pPr>
        <w:ind w:left="720" w:hanging="720"/>
        <w:rPr>
          <w:bCs/>
        </w:rPr>
      </w:pPr>
      <w:r>
        <w:rPr>
          <w:bCs/>
        </w:rPr>
        <w:t>3.1</w:t>
      </w:r>
      <w:r>
        <w:rPr>
          <w:bCs/>
        </w:rPr>
        <w:tab/>
      </w:r>
      <w:r w:rsidR="00990507" w:rsidRPr="00990507">
        <w:rPr>
          <w:bCs/>
        </w:rPr>
        <w:t xml:space="preserve">Options were considered as to how </w:t>
      </w:r>
      <w:r w:rsidR="00990507">
        <w:rPr>
          <w:bCs/>
        </w:rPr>
        <w:t>best to approach the submission</w:t>
      </w:r>
      <w:r w:rsidR="00990507" w:rsidRPr="00990507">
        <w:rPr>
          <w:bCs/>
        </w:rPr>
        <w:t xml:space="preserve"> </w:t>
      </w:r>
      <w:r w:rsidR="000251C0">
        <w:rPr>
          <w:bCs/>
        </w:rPr>
        <w:t>and the options were: -</w:t>
      </w:r>
    </w:p>
    <w:p w14:paraId="2E5BC51F" w14:textId="77777777" w:rsidR="00990507" w:rsidRPr="00F31DD2" w:rsidRDefault="00990507" w:rsidP="00AD1E77">
      <w:pPr>
        <w:rPr>
          <w:b/>
        </w:rPr>
      </w:pPr>
    </w:p>
    <w:p w14:paraId="320272A0" w14:textId="38601387" w:rsidR="00633B6D" w:rsidRPr="00F31DD2" w:rsidRDefault="00434953" w:rsidP="0078260B">
      <w:pPr>
        <w:ind w:firstLine="720"/>
        <w:rPr>
          <w:bCs/>
        </w:rPr>
      </w:pPr>
      <w:r w:rsidRPr="00F31DD2">
        <w:rPr>
          <w:b/>
        </w:rPr>
        <w:t xml:space="preserve">(a). </w:t>
      </w:r>
      <w:r w:rsidR="001341EE">
        <w:rPr>
          <w:b/>
        </w:rPr>
        <w:t>I</w:t>
      </w:r>
      <w:r w:rsidRPr="00F31DD2">
        <w:rPr>
          <w:b/>
        </w:rPr>
        <w:t>ndividual bid application for Harrow</w:t>
      </w:r>
      <w:r w:rsidRPr="00F31DD2">
        <w:rPr>
          <w:bCs/>
        </w:rPr>
        <w:t xml:space="preserve">. </w:t>
      </w:r>
    </w:p>
    <w:p w14:paraId="6D60685E" w14:textId="17F9904D" w:rsidR="00434953" w:rsidRPr="00F31DD2" w:rsidRDefault="00434953" w:rsidP="0078260B">
      <w:pPr>
        <w:ind w:left="720"/>
        <w:rPr>
          <w:bCs/>
          <w:color w:val="FF0000"/>
        </w:rPr>
      </w:pPr>
      <w:r w:rsidRPr="00F31DD2">
        <w:rPr>
          <w:bCs/>
        </w:rPr>
        <w:t>Consideration was given to submitting an in</w:t>
      </w:r>
      <w:r w:rsidR="00430D1C" w:rsidRPr="00F31DD2">
        <w:rPr>
          <w:bCs/>
        </w:rPr>
        <w:t xml:space="preserve">dividual </w:t>
      </w:r>
      <w:r w:rsidRPr="00F31DD2">
        <w:rPr>
          <w:bCs/>
        </w:rPr>
        <w:t xml:space="preserve">bid </w:t>
      </w:r>
      <w:r w:rsidR="00633B6D" w:rsidRPr="00F31DD2">
        <w:rPr>
          <w:bCs/>
        </w:rPr>
        <w:t xml:space="preserve">for </w:t>
      </w:r>
      <w:r w:rsidR="000251C0" w:rsidRPr="00F31DD2">
        <w:rPr>
          <w:bCs/>
        </w:rPr>
        <w:t>Harrow,</w:t>
      </w:r>
      <w:r w:rsidR="00633B6D" w:rsidRPr="00F31DD2">
        <w:rPr>
          <w:bCs/>
        </w:rPr>
        <w:t xml:space="preserve"> </w:t>
      </w:r>
      <w:r w:rsidRPr="00F31DD2">
        <w:rPr>
          <w:bCs/>
        </w:rPr>
        <w:t xml:space="preserve">but </w:t>
      </w:r>
      <w:r w:rsidR="00F31DD2" w:rsidRPr="00F31DD2">
        <w:rPr>
          <w:bCs/>
        </w:rPr>
        <w:t>it</w:t>
      </w:r>
      <w:r w:rsidRPr="00F31DD2">
        <w:rPr>
          <w:bCs/>
        </w:rPr>
        <w:t xml:space="preserve"> </w:t>
      </w:r>
      <w:r w:rsidR="00F31DD2" w:rsidRPr="00F31DD2">
        <w:rPr>
          <w:bCs/>
        </w:rPr>
        <w:t xml:space="preserve">was </w:t>
      </w:r>
      <w:r w:rsidR="0089449F">
        <w:rPr>
          <w:bCs/>
        </w:rPr>
        <w:t>agreed</w:t>
      </w:r>
      <w:r w:rsidR="00F31DD2" w:rsidRPr="00F31DD2">
        <w:rPr>
          <w:bCs/>
        </w:rPr>
        <w:t xml:space="preserve"> that it would be a more efficient </w:t>
      </w:r>
      <w:r w:rsidR="00B62037">
        <w:rPr>
          <w:bCs/>
        </w:rPr>
        <w:t>approach to collaborate</w:t>
      </w:r>
      <w:r w:rsidR="00626D27">
        <w:rPr>
          <w:bCs/>
        </w:rPr>
        <w:t xml:space="preserve"> with other </w:t>
      </w:r>
      <w:r w:rsidR="00AD53BC">
        <w:rPr>
          <w:bCs/>
        </w:rPr>
        <w:t>Borough</w:t>
      </w:r>
      <w:r w:rsidR="00626D27">
        <w:rPr>
          <w:bCs/>
        </w:rPr>
        <w:t xml:space="preserve">s </w:t>
      </w:r>
      <w:r w:rsidR="00F31DD2" w:rsidRPr="00F31DD2">
        <w:rPr>
          <w:bCs/>
        </w:rPr>
        <w:t>to submit a joint bid.</w:t>
      </w:r>
      <w:r w:rsidR="00626D27">
        <w:rPr>
          <w:bCs/>
        </w:rPr>
        <w:t xml:space="preserve">  </w:t>
      </w:r>
    </w:p>
    <w:p w14:paraId="7FDF4883" w14:textId="77777777" w:rsidR="00F31DD2" w:rsidRDefault="00F31DD2" w:rsidP="00AD1E77">
      <w:pPr>
        <w:rPr>
          <w:bCs/>
          <w:color w:val="FF0000"/>
        </w:rPr>
      </w:pPr>
    </w:p>
    <w:p w14:paraId="1A12B4AC" w14:textId="7F7AA45B" w:rsidR="00F31DD2" w:rsidRDefault="00434953" w:rsidP="0078260B">
      <w:pPr>
        <w:ind w:firstLine="720"/>
        <w:rPr>
          <w:bCs/>
        </w:rPr>
      </w:pPr>
      <w:r w:rsidRPr="00F31DD2">
        <w:rPr>
          <w:b/>
        </w:rPr>
        <w:t xml:space="preserve">(b). </w:t>
      </w:r>
      <w:r w:rsidR="00DF7201">
        <w:rPr>
          <w:b/>
        </w:rPr>
        <w:t>Submitting</w:t>
      </w:r>
      <w:r w:rsidRPr="00F31DD2">
        <w:rPr>
          <w:b/>
        </w:rPr>
        <w:t xml:space="preserve"> a joint consortium bid</w:t>
      </w:r>
      <w:r w:rsidRPr="00F31DD2">
        <w:rPr>
          <w:bCs/>
        </w:rPr>
        <w:t xml:space="preserve"> </w:t>
      </w:r>
    </w:p>
    <w:p w14:paraId="12A99A47" w14:textId="4DCF9E41" w:rsidR="00626D27" w:rsidRPr="00F31DD2" w:rsidRDefault="00F31DD2" w:rsidP="0078260B">
      <w:pPr>
        <w:ind w:left="720"/>
        <w:rPr>
          <w:bCs/>
          <w:color w:val="FF0000"/>
        </w:rPr>
      </w:pPr>
      <w:r w:rsidRPr="00F31DD2">
        <w:rPr>
          <w:bCs/>
        </w:rPr>
        <w:lastRenderedPageBreak/>
        <w:t xml:space="preserve">This was the preferred option as there was much to be gained by teaming with our neighbouring </w:t>
      </w:r>
      <w:r w:rsidR="00626D27">
        <w:rPr>
          <w:bCs/>
        </w:rPr>
        <w:t>B</w:t>
      </w:r>
      <w:r w:rsidRPr="00F31DD2">
        <w:rPr>
          <w:bCs/>
        </w:rPr>
        <w:t>oroughs</w:t>
      </w:r>
      <w:r w:rsidR="00626D27">
        <w:rPr>
          <w:bCs/>
        </w:rPr>
        <w:t>. This would mean that consortium Boroughs can share technical expertise, provide a joint voice to Government and get improved economies of scale.</w:t>
      </w:r>
    </w:p>
    <w:p w14:paraId="2B0FFA28" w14:textId="221130BE" w:rsidR="00F31DD2" w:rsidRDefault="00F31DD2" w:rsidP="00AD1E77">
      <w:pPr>
        <w:rPr>
          <w:bCs/>
        </w:rPr>
      </w:pPr>
      <w:r>
        <w:rPr>
          <w:bCs/>
        </w:rPr>
        <w:t xml:space="preserve">  </w:t>
      </w:r>
    </w:p>
    <w:p w14:paraId="5D4C8EA1" w14:textId="6158DD83" w:rsidR="001C7E35" w:rsidRDefault="00F31DD2" w:rsidP="0078260B">
      <w:pPr>
        <w:ind w:left="720"/>
        <w:rPr>
          <w:bCs/>
        </w:rPr>
      </w:pPr>
      <w:r>
        <w:rPr>
          <w:bCs/>
        </w:rPr>
        <w:t xml:space="preserve">With relevant staff already in post, </w:t>
      </w:r>
      <w:r w:rsidR="001341EE">
        <w:rPr>
          <w:bCs/>
        </w:rPr>
        <w:t xml:space="preserve">and previous bid experience and success </w:t>
      </w:r>
      <w:r>
        <w:rPr>
          <w:bCs/>
        </w:rPr>
        <w:t xml:space="preserve">there was a more experienced </w:t>
      </w:r>
      <w:r w:rsidR="00434953" w:rsidRPr="00F31DD2">
        <w:rPr>
          <w:bCs/>
        </w:rPr>
        <w:t xml:space="preserve">resource to address </w:t>
      </w:r>
      <w:r>
        <w:rPr>
          <w:bCs/>
        </w:rPr>
        <w:t xml:space="preserve">issues </w:t>
      </w:r>
      <w:r w:rsidR="00434953" w:rsidRPr="00F31DD2">
        <w:rPr>
          <w:bCs/>
        </w:rPr>
        <w:t xml:space="preserve">and </w:t>
      </w:r>
      <w:r>
        <w:rPr>
          <w:bCs/>
        </w:rPr>
        <w:t xml:space="preserve">expertly </w:t>
      </w:r>
      <w:r w:rsidR="00434953" w:rsidRPr="00F31DD2">
        <w:rPr>
          <w:bCs/>
        </w:rPr>
        <w:t>collate all requirements in relation to the bid</w:t>
      </w:r>
      <w:r>
        <w:rPr>
          <w:bCs/>
        </w:rPr>
        <w:t>.</w:t>
      </w:r>
      <w:r w:rsidR="00BF3646">
        <w:rPr>
          <w:bCs/>
        </w:rPr>
        <w:t xml:space="preserve">  The West London Consortium </w:t>
      </w:r>
      <w:r w:rsidR="00564855">
        <w:rPr>
          <w:bCs/>
        </w:rPr>
        <w:t>from recent BEIS figures is</w:t>
      </w:r>
      <w:r w:rsidR="00BD4171">
        <w:rPr>
          <w:bCs/>
        </w:rPr>
        <w:t xml:space="preserve"> one of the best performing and as the tables in the report below show Harrow </w:t>
      </w:r>
      <w:r w:rsidR="009A26C7">
        <w:rPr>
          <w:bCs/>
        </w:rPr>
        <w:t>has particularly benefitted well</w:t>
      </w:r>
      <w:r w:rsidR="005F1103">
        <w:rPr>
          <w:bCs/>
        </w:rPr>
        <w:t>.</w:t>
      </w:r>
    </w:p>
    <w:p w14:paraId="09800527" w14:textId="77777777" w:rsidR="00F31DD2" w:rsidRDefault="00F31DD2" w:rsidP="00AD1E77">
      <w:pPr>
        <w:rPr>
          <w:bCs/>
        </w:rPr>
      </w:pPr>
    </w:p>
    <w:p w14:paraId="5F3D2C32" w14:textId="77777777" w:rsidR="00F31DD2" w:rsidRPr="00F31DD2" w:rsidRDefault="00F31DD2" w:rsidP="0078260B">
      <w:pPr>
        <w:ind w:firstLine="720"/>
        <w:rPr>
          <w:b/>
        </w:rPr>
      </w:pPr>
      <w:r w:rsidRPr="00F31DD2">
        <w:rPr>
          <w:b/>
        </w:rPr>
        <w:t>(c). Do nothing</w:t>
      </w:r>
    </w:p>
    <w:p w14:paraId="020F21EE" w14:textId="20E1A152" w:rsidR="00F31DD2" w:rsidRDefault="00F31DD2" w:rsidP="0078260B">
      <w:pPr>
        <w:ind w:left="720"/>
        <w:rPr>
          <w:bCs/>
        </w:rPr>
      </w:pPr>
      <w:r>
        <w:rPr>
          <w:bCs/>
        </w:rPr>
        <w:t xml:space="preserve">This was not an option as </w:t>
      </w:r>
      <w:r w:rsidR="00D91952">
        <w:rPr>
          <w:bCs/>
        </w:rPr>
        <w:t xml:space="preserve">the Council has declared a </w:t>
      </w:r>
      <w:r w:rsidR="00D91952" w:rsidRPr="00A45831">
        <w:t xml:space="preserve">Climate </w:t>
      </w:r>
      <w:r w:rsidR="00D91952">
        <w:t>Emergency</w:t>
      </w:r>
      <w:r w:rsidR="003C7351">
        <w:t xml:space="preserve"> and </w:t>
      </w:r>
      <w:r w:rsidR="008E0DEB">
        <w:t>wishes to reduce fuel poverty within the Borough.  To do this</w:t>
      </w:r>
      <w:r w:rsidR="00A971AC">
        <w:t xml:space="preserve"> the Council has to </w:t>
      </w:r>
      <w:r w:rsidR="00D91952">
        <w:t xml:space="preserve">actively participate in </w:t>
      </w:r>
      <w:r w:rsidR="003637D9">
        <w:t xml:space="preserve">applying for and </w:t>
      </w:r>
      <w:r w:rsidR="00D91952">
        <w:t>winning bid</w:t>
      </w:r>
      <w:r w:rsidR="00EA373B">
        <w:t>s</w:t>
      </w:r>
      <w:r w:rsidR="001E5EBD">
        <w:t xml:space="preserve">.  We will be </w:t>
      </w:r>
      <w:r w:rsidR="00D91952">
        <w:t xml:space="preserve">able to access more funding for this </w:t>
      </w:r>
      <w:proofErr w:type="gramStart"/>
      <w:r w:rsidR="00D91952">
        <w:t>particular type of work</w:t>
      </w:r>
      <w:proofErr w:type="gramEnd"/>
      <w:r w:rsidR="003637D9">
        <w:t xml:space="preserve"> going forward</w:t>
      </w:r>
      <w:r w:rsidR="00D91952">
        <w:t xml:space="preserve">. </w:t>
      </w:r>
      <w:r>
        <w:rPr>
          <w:bCs/>
        </w:rPr>
        <w:t xml:space="preserve"> </w:t>
      </w:r>
    </w:p>
    <w:p w14:paraId="0D867008" w14:textId="79849195" w:rsidR="00051377" w:rsidRDefault="00051377" w:rsidP="0078260B">
      <w:pPr>
        <w:ind w:left="720"/>
        <w:rPr>
          <w:bCs/>
        </w:rPr>
      </w:pPr>
    </w:p>
    <w:p w14:paraId="2D7880F8" w14:textId="51103FC1" w:rsidR="00051377" w:rsidRDefault="00051377" w:rsidP="00051377">
      <w:pPr>
        <w:ind w:left="720" w:hanging="720"/>
        <w:rPr>
          <w:bCs/>
        </w:rPr>
      </w:pPr>
      <w:r>
        <w:rPr>
          <w:bCs/>
        </w:rPr>
        <w:t>3.</w:t>
      </w:r>
      <w:r w:rsidR="002B5291">
        <w:rPr>
          <w:bCs/>
        </w:rPr>
        <w:t>2</w:t>
      </w:r>
      <w:r>
        <w:rPr>
          <w:bCs/>
        </w:rPr>
        <w:tab/>
      </w:r>
      <w:r w:rsidRPr="00990507">
        <w:rPr>
          <w:bCs/>
        </w:rPr>
        <w:t xml:space="preserve">Options were </w:t>
      </w:r>
      <w:r w:rsidR="002B5291">
        <w:rPr>
          <w:bCs/>
        </w:rPr>
        <w:t xml:space="preserve">also </w:t>
      </w:r>
      <w:r w:rsidRPr="00990507">
        <w:rPr>
          <w:bCs/>
        </w:rPr>
        <w:t>considered as to how to</w:t>
      </w:r>
      <w:r>
        <w:rPr>
          <w:bCs/>
        </w:rPr>
        <w:t xml:space="preserve"> best to approach </w:t>
      </w:r>
      <w:r w:rsidR="00A50402">
        <w:rPr>
          <w:bCs/>
        </w:rPr>
        <w:t xml:space="preserve">the </w:t>
      </w:r>
      <w:r w:rsidR="00493A00">
        <w:rPr>
          <w:bCs/>
        </w:rPr>
        <w:t xml:space="preserve">award/ </w:t>
      </w:r>
      <w:r w:rsidR="002B5291">
        <w:rPr>
          <w:bCs/>
        </w:rPr>
        <w:t xml:space="preserve">utilisation </w:t>
      </w:r>
      <w:r w:rsidR="00A50402">
        <w:rPr>
          <w:bCs/>
        </w:rPr>
        <w:t>of relevant grant funding and the options were:</w:t>
      </w:r>
      <w:r>
        <w:rPr>
          <w:bCs/>
        </w:rPr>
        <w:t xml:space="preserve"> -</w:t>
      </w:r>
    </w:p>
    <w:p w14:paraId="6BEDF6D7" w14:textId="77777777" w:rsidR="00A50402" w:rsidRPr="00990507" w:rsidRDefault="00A50402" w:rsidP="00051377">
      <w:pPr>
        <w:ind w:left="720" w:hanging="720"/>
        <w:rPr>
          <w:bCs/>
        </w:rPr>
      </w:pPr>
    </w:p>
    <w:p w14:paraId="5DBFD3FC" w14:textId="6F5A5820" w:rsidR="00A50402" w:rsidRPr="00F31DD2" w:rsidRDefault="00A50402" w:rsidP="00A50402">
      <w:pPr>
        <w:ind w:firstLine="720"/>
        <w:rPr>
          <w:bCs/>
        </w:rPr>
      </w:pPr>
      <w:r w:rsidRPr="00F31DD2">
        <w:rPr>
          <w:b/>
        </w:rPr>
        <w:t xml:space="preserve">(a). </w:t>
      </w:r>
      <w:r>
        <w:rPr>
          <w:b/>
        </w:rPr>
        <w:t xml:space="preserve">To utilise the funding </w:t>
      </w:r>
      <w:r w:rsidRPr="00F31DD2">
        <w:rPr>
          <w:bCs/>
        </w:rPr>
        <w:t xml:space="preserve"> </w:t>
      </w:r>
    </w:p>
    <w:p w14:paraId="2AA2D3EF" w14:textId="497D920F" w:rsidR="00A50402" w:rsidRDefault="00A50402" w:rsidP="00055CD6">
      <w:pPr>
        <w:ind w:left="720"/>
        <w:rPr>
          <w:bCs/>
          <w:color w:val="FF0000"/>
        </w:rPr>
      </w:pPr>
      <w:r>
        <w:rPr>
          <w:bCs/>
        </w:rPr>
        <w:t>It was agreed that if Harrow were to be awarded funding that we would seek Cabinet approval to draw down and utilise the apportioned amount attributed to Harrow</w:t>
      </w:r>
      <w:r w:rsidR="00A971AC">
        <w:rPr>
          <w:bCs/>
        </w:rPr>
        <w:t xml:space="preserve">.  </w:t>
      </w:r>
      <w:r w:rsidR="005D511E">
        <w:rPr>
          <w:bCs/>
        </w:rPr>
        <w:t>Cabinet approved this for Phase 1</w:t>
      </w:r>
      <w:r w:rsidR="00ED0219">
        <w:rPr>
          <w:bCs/>
        </w:rPr>
        <w:t>a</w:t>
      </w:r>
      <w:r w:rsidR="005D511E">
        <w:rPr>
          <w:bCs/>
        </w:rPr>
        <w:t xml:space="preserve"> and </w:t>
      </w:r>
      <w:r w:rsidR="000A336D">
        <w:rPr>
          <w:bCs/>
        </w:rPr>
        <w:t xml:space="preserve">we are now seeking </w:t>
      </w:r>
      <w:r w:rsidR="005C6684">
        <w:rPr>
          <w:bCs/>
        </w:rPr>
        <w:t>approval to utilise Phase 2 funding</w:t>
      </w:r>
      <w:r w:rsidR="000A336D">
        <w:rPr>
          <w:bCs/>
        </w:rPr>
        <w:t xml:space="preserve"> and </w:t>
      </w:r>
      <w:r w:rsidR="007C4BB7">
        <w:rPr>
          <w:bCs/>
        </w:rPr>
        <w:t xml:space="preserve">delegated </w:t>
      </w:r>
      <w:r w:rsidR="00B109AE">
        <w:rPr>
          <w:bCs/>
        </w:rPr>
        <w:t>authority</w:t>
      </w:r>
      <w:r w:rsidR="00821D14">
        <w:rPr>
          <w:bCs/>
        </w:rPr>
        <w:t xml:space="preserve"> to take any necessary action</w:t>
      </w:r>
      <w:r w:rsidR="006F5F06">
        <w:rPr>
          <w:bCs/>
        </w:rPr>
        <w:t xml:space="preserve"> to utilise </w:t>
      </w:r>
      <w:r w:rsidR="00BB604D" w:rsidRPr="001423AA">
        <w:t>any subsequent phases of the Green Homes Grant: Local Authority Delivery Scheme, Sustainable Warmth Competition, and/or Home Upgrade Grant</w:t>
      </w:r>
      <w:r w:rsidR="00BB604D">
        <w:t xml:space="preserve"> f</w:t>
      </w:r>
      <w:r w:rsidR="00BB604D" w:rsidRPr="001D0C6A">
        <w:rPr>
          <w:szCs w:val="22"/>
        </w:rPr>
        <w:t>ollowing a competitive procurement process that Ealing Council will lead on</w:t>
      </w:r>
      <w:r w:rsidR="00BF30FA">
        <w:rPr>
          <w:szCs w:val="22"/>
        </w:rPr>
        <w:t xml:space="preserve"> if successful</w:t>
      </w:r>
      <w:r w:rsidR="00BB604D">
        <w:rPr>
          <w:szCs w:val="22"/>
        </w:rPr>
        <w:t>.</w:t>
      </w:r>
    </w:p>
    <w:p w14:paraId="512D8F26" w14:textId="77777777" w:rsidR="00E56973" w:rsidRDefault="00E56973" w:rsidP="00A50402">
      <w:pPr>
        <w:ind w:firstLine="720"/>
        <w:rPr>
          <w:b/>
        </w:rPr>
      </w:pPr>
    </w:p>
    <w:p w14:paraId="43A9520A" w14:textId="5569A6B7" w:rsidR="00A50402" w:rsidRDefault="00A50402" w:rsidP="00A50402">
      <w:pPr>
        <w:ind w:firstLine="720"/>
        <w:rPr>
          <w:bCs/>
        </w:rPr>
      </w:pPr>
      <w:r w:rsidRPr="00F31DD2">
        <w:rPr>
          <w:b/>
        </w:rPr>
        <w:t xml:space="preserve">(b). </w:t>
      </w:r>
      <w:r>
        <w:rPr>
          <w:b/>
        </w:rPr>
        <w:t xml:space="preserve">To not utilise the funding </w:t>
      </w:r>
      <w:r w:rsidRPr="00F31DD2">
        <w:rPr>
          <w:bCs/>
        </w:rPr>
        <w:t xml:space="preserve"> </w:t>
      </w:r>
    </w:p>
    <w:p w14:paraId="53A975C0" w14:textId="77777777" w:rsidR="00493A00" w:rsidRDefault="00A50402" w:rsidP="00A50402">
      <w:pPr>
        <w:ind w:left="720"/>
        <w:rPr>
          <w:bCs/>
        </w:rPr>
      </w:pPr>
      <w:r>
        <w:rPr>
          <w:bCs/>
        </w:rPr>
        <w:t>This was not an option</w:t>
      </w:r>
      <w:r w:rsidR="002B5291">
        <w:rPr>
          <w:bCs/>
        </w:rPr>
        <w:t xml:space="preserve">. </w:t>
      </w:r>
    </w:p>
    <w:p w14:paraId="5BBB6B67" w14:textId="714630DC" w:rsidR="00A50402" w:rsidRDefault="002B5291" w:rsidP="00A50402">
      <w:pPr>
        <w:ind w:left="720"/>
        <w:rPr>
          <w:bCs/>
        </w:rPr>
      </w:pPr>
      <w:r>
        <w:rPr>
          <w:bCs/>
        </w:rPr>
        <w:t>T</w:t>
      </w:r>
      <w:r w:rsidR="00A50402">
        <w:rPr>
          <w:bCs/>
        </w:rPr>
        <w:t xml:space="preserve">he Council has declared a </w:t>
      </w:r>
      <w:r w:rsidR="00A50402" w:rsidRPr="00A45831">
        <w:t xml:space="preserve">Climate </w:t>
      </w:r>
      <w:r w:rsidR="00103467">
        <w:t>Emergency and</w:t>
      </w:r>
      <w:r w:rsidR="00A50402">
        <w:t xml:space="preserve"> want to actively participate in applying for and winning bids</w:t>
      </w:r>
      <w:r w:rsidR="003F24AE">
        <w:t xml:space="preserve"> to provide the additional financial resources to undertake retrofit activity</w:t>
      </w:r>
      <w:r w:rsidR="00103467">
        <w:t xml:space="preserve">.  This will </w:t>
      </w:r>
      <w:r w:rsidR="003F24AE">
        <w:t xml:space="preserve">also </w:t>
      </w:r>
      <w:r w:rsidR="00103467">
        <w:t>mean</w:t>
      </w:r>
      <w:r w:rsidR="005E0217">
        <w:t xml:space="preserve"> </w:t>
      </w:r>
      <w:r w:rsidR="00A50402">
        <w:t xml:space="preserve">we are </w:t>
      </w:r>
      <w:r w:rsidR="003F24AE">
        <w:t xml:space="preserve">better </w:t>
      </w:r>
      <w:r w:rsidR="00A50402">
        <w:t>able</w:t>
      </w:r>
      <w:r w:rsidR="00582DE3">
        <w:t xml:space="preserve"> </w:t>
      </w:r>
      <w:r w:rsidR="00A50402">
        <w:t xml:space="preserve">to access more funding for this </w:t>
      </w:r>
      <w:proofErr w:type="gramStart"/>
      <w:r w:rsidR="00A50402">
        <w:t>particular type of work</w:t>
      </w:r>
      <w:proofErr w:type="gramEnd"/>
      <w:r w:rsidR="00A50402">
        <w:t xml:space="preserve"> going forward. </w:t>
      </w:r>
    </w:p>
    <w:bookmarkEnd w:id="2"/>
    <w:p w14:paraId="129196C0" w14:textId="77777777" w:rsidR="004B4967" w:rsidRPr="00F31DD2" w:rsidRDefault="004B4967" w:rsidP="00DE7309">
      <w:pPr>
        <w:rPr>
          <w:bCs/>
        </w:rPr>
      </w:pPr>
    </w:p>
    <w:p w14:paraId="0E637316" w14:textId="71909C08" w:rsidR="00333FAA" w:rsidRDefault="00B5693E" w:rsidP="00333FAA">
      <w:pPr>
        <w:pStyle w:val="Heading2"/>
        <w:rPr>
          <w:rFonts w:ascii="Arial" w:hAnsi="Arial"/>
          <w:sz w:val="28"/>
          <w:szCs w:val="28"/>
        </w:rPr>
      </w:pPr>
      <w:r w:rsidRPr="00A01C51">
        <w:rPr>
          <w:rFonts w:ascii="Arial" w:hAnsi="Arial"/>
          <w:sz w:val="28"/>
          <w:szCs w:val="28"/>
        </w:rPr>
        <w:t>4.</w:t>
      </w:r>
      <w:r w:rsidR="00866727">
        <w:rPr>
          <w:rFonts w:ascii="Arial" w:hAnsi="Arial"/>
          <w:sz w:val="28"/>
          <w:szCs w:val="28"/>
        </w:rPr>
        <w:tab/>
      </w:r>
      <w:r w:rsidR="00333FAA" w:rsidRPr="00A01C51">
        <w:rPr>
          <w:rFonts w:ascii="Arial" w:hAnsi="Arial"/>
          <w:sz w:val="28"/>
          <w:szCs w:val="28"/>
        </w:rPr>
        <w:t>Current situation</w:t>
      </w:r>
    </w:p>
    <w:p w14:paraId="53BEC8DB" w14:textId="592C4D67" w:rsidR="00CB4633" w:rsidRDefault="00CB4633" w:rsidP="00CB4633"/>
    <w:p w14:paraId="0A6C00DB" w14:textId="4FE0407C" w:rsidR="00CB4633" w:rsidRPr="007E76DA" w:rsidRDefault="00CB4633" w:rsidP="00CB4633">
      <w:pPr>
        <w:spacing w:after="120"/>
        <w:ind w:left="720" w:hanging="720"/>
        <w:jc w:val="both"/>
        <w:rPr>
          <w:rFonts w:cs="Arial"/>
          <w:bCs/>
          <w:szCs w:val="24"/>
        </w:rPr>
      </w:pPr>
      <w:r>
        <w:t>4.1</w:t>
      </w:r>
      <w:r>
        <w:tab/>
      </w:r>
      <w:r w:rsidRPr="007E76DA">
        <w:rPr>
          <w:rFonts w:cs="Arial"/>
          <w:bCs/>
          <w:szCs w:val="24"/>
        </w:rPr>
        <w:t>Ealing Council led a successful seven-borough partnership bid for grant funding for the Green Homes Grant: Local Authority Delivery Scheme Phase 1</w:t>
      </w:r>
      <w:r w:rsidR="00ED0219">
        <w:rPr>
          <w:rFonts w:cs="Arial"/>
          <w:bCs/>
          <w:szCs w:val="24"/>
        </w:rPr>
        <w:t>a</w:t>
      </w:r>
      <w:r w:rsidRPr="007E76DA">
        <w:rPr>
          <w:rFonts w:cs="Arial"/>
          <w:bCs/>
          <w:szCs w:val="24"/>
        </w:rPr>
        <w:t>, focusing on delivering private-sector energy efficiency retrofits, through a centralised delivery agent. The full grant award</w:t>
      </w:r>
      <w:r w:rsidR="0053632C">
        <w:rPr>
          <w:rFonts w:cs="Arial"/>
          <w:bCs/>
          <w:szCs w:val="24"/>
        </w:rPr>
        <w:t xml:space="preserve"> was</w:t>
      </w:r>
      <w:r w:rsidRPr="007E76DA">
        <w:rPr>
          <w:rFonts w:cs="Arial"/>
          <w:bCs/>
          <w:szCs w:val="24"/>
        </w:rPr>
        <w:t xml:space="preserve"> £4.78m from the Department for Business, Energy and Industrial Strategy (BEIS), with the intent to be shared equally amongst the </w:t>
      </w:r>
      <w:r w:rsidR="0048695F">
        <w:rPr>
          <w:rFonts w:cs="Arial"/>
          <w:bCs/>
          <w:szCs w:val="24"/>
        </w:rPr>
        <w:t>Consortium</w:t>
      </w:r>
      <w:r w:rsidRPr="007E76DA">
        <w:rPr>
          <w:rFonts w:cs="Arial"/>
          <w:bCs/>
          <w:szCs w:val="24"/>
        </w:rPr>
        <w:t xml:space="preserve"> </w:t>
      </w:r>
      <w:r w:rsidR="0048695F">
        <w:rPr>
          <w:rFonts w:cs="Arial"/>
          <w:bCs/>
          <w:szCs w:val="24"/>
        </w:rPr>
        <w:t>B</w:t>
      </w:r>
      <w:r w:rsidRPr="007E76DA">
        <w:rPr>
          <w:rFonts w:cs="Arial"/>
          <w:bCs/>
          <w:szCs w:val="24"/>
        </w:rPr>
        <w:t xml:space="preserve">oroughs. </w:t>
      </w:r>
    </w:p>
    <w:p w14:paraId="6C6974FF" w14:textId="04F5B24A" w:rsidR="00CB4633" w:rsidRPr="007E76DA" w:rsidRDefault="000F3743" w:rsidP="000F3743">
      <w:pPr>
        <w:spacing w:after="120"/>
        <w:ind w:left="720" w:hanging="720"/>
        <w:jc w:val="both"/>
        <w:rPr>
          <w:rFonts w:cs="Arial"/>
          <w:bCs/>
          <w:szCs w:val="24"/>
        </w:rPr>
      </w:pPr>
      <w:r>
        <w:rPr>
          <w:rFonts w:cs="Arial"/>
          <w:bCs/>
          <w:szCs w:val="24"/>
        </w:rPr>
        <w:t>4.2</w:t>
      </w:r>
      <w:r>
        <w:rPr>
          <w:rFonts w:cs="Arial"/>
          <w:bCs/>
          <w:szCs w:val="24"/>
        </w:rPr>
        <w:tab/>
      </w:r>
      <w:r w:rsidR="00CB4633" w:rsidRPr="007E76DA">
        <w:rPr>
          <w:rFonts w:cs="Arial"/>
          <w:bCs/>
          <w:szCs w:val="24"/>
        </w:rPr>
        <w:t xml:space="preserve">The OJEU competitive tender process completed to secure a delivery partner for Phase 1a included information to bidders in anticipation of </w:t>
      </w:r>
      <w:r w:rsidR="00CB4633" w:rsidRPr="007E76DA">
        <w:rPr>
          <w:rFonts w:cs="Arial"/>
          <w:bCs/>
          <w:szCs w:val="24"/>
        </w:rPr>
        <w:lastRenderedPageBreak/>
        <w:t>programme expansion, should further funding be awarded to the partnership. The ITT describe</w:t>
      </w:r>
      <w:r w:rsidR="0053632C">
        <w:rPr>
          <w:rFonts w:cs="Arial"/>
          <w:bCs/>
          <w:szCs w:val="24"/>
        </w:rPr>
        <w:t>d</w:t>
      </w:r>
      <w:r w:rsidR="00CB4633" w:rsidRPr="007E76DA">
        <w:rPr>
          <w:rFonts w:cs="Arial"/>
          <w:bCs/>
          <w:szCs w:val="24"/>
        </w:rPr>
        <w:t xml:space="preserve"> the project as having a potential total value of £19.283m.</w:t>
      </w:r>
    </w:p>
    <w:p w14:paraId="77364E96" w14:textId="77777777" w:rsidR="0031076F" w:rsidRPr="0031076F" w:rsidRDefault="0031076F" w:rsidP="0031076F"/>
    <w:p w14:paraId="73FFFC41" w14:textId="6916B0AF" w:rsidR="0027293E" w:rsidRDefault="0031076F" w:rsidP="0031076F">
      <w:pPr>
        <w:pStyle w:val="Default"/>
        <w:ind w:left="720" w:hanging="720"/>
        <w:rPr>
          <w:color w:val="auto"/>
        </w:rPr>
      </w:pPr>
      <w:r>
        <w:rPr>
          <w:color w:val="auto"/>
        </w:rPr>
        <w:t>4.</w:t>
      </w:r>
      <w:r w:rsidR="001963CC">
        <w:rPr>
          <w:color w:val="auto"/>
        </w:rPr>
        <w:t>3</w:t>
      </w:r>
      <w:r>
        <w:rPr>
          <w:color w:val="auto"/>
        </w:rPr>
        <w:tab/>
      </w:r>
      <w:r w:rsidR="00234972" w:rsidRPr="009D33CC">
        <w:rPr>
          <w:b/>
          <w:bCs/>
          <w:color w:val="auto"/>
        </w:rPr>
        <w:t>Phase 1</w:t>
      </w:r>
      <w:r w:rsidR="00ED0219">
        <w:rPr>
          <w:b/>
          <w:bCs/>
          <w:color w:val="auto"/>
        </w:rPr>
        <w:t>a</w:t>
      </w:r>
      <w:r w:rsidR="005F1103">
        <w:rPr>
          <w:b/>
          <w:bCs/>
          <w:color w:val="auto"/>
        </w:rPr>
        <w:t xml:space="preserve"> Progress</w:t>
      </w:r>
    </w:p>
    <w:p w14:paraId="63A5F55D" w14:textId="5EAF8685" w:rsidR="0027293E" w:rsidRDefault="0027293E" w:rsidP="0031076F">
      <w:pPr>
        <w:pStyle w:val="Default"/>
        <w:ind w:left="720" w:hanging="720"/>
        <w:rPr>
          <w:color w:val="auto"/>
        </w:rPr>
      </w:pPr>
    </w:p>
    <w:p w14:paraId="6932407D" w14:textId="77777777" w:rsidR="009356A3" w:rsidRDefault="00645586" w:rsidP="00454790">
      <w:pPr>
        <w:ind w:left="720"/>
        <w:rPr>
          <w:rFonts w:cs="Arial"/>
        </w:rPr>
      </w:pPr>
      <w:r>
        <w:rPr>
          <w:rFonts w:cs="Arial"/>
        </w:rPr>
        <w:t xml:space="preserve">There were several challenges </w:t>
      </w:r>
      <w:r w:rsidR="00E0363B">
        <w:rPr>
          <w:rFonts w:cs="Arial"/>
        </w:rPr>
        <w:t xml:space="preserve">in </w:t>
      </w:r>
      <w:r w:rsidR="008F5829">
        <w:rPr>
          <w:rFonts w:cs="Arial"/>
        </w:rPr>
        <w:t>setting the scheme up</w:t>
      </w:r>
      <w:r w:rsidR="00AF7246">
        <w:rPr>
          <w:rFonts w:cs="Arial"/>
        </w:rPr>
        <w:t>.  These were caused by the demanding timescales to procure a contractor and the de</w:t>
      </w:r>
      <w:r w:rsidR="00880093">
        <w:rPr>
          <w:rFonts w:cs="Arial"/>
        </w:rPr>
        <w:t>livery network, target the scheme to those who may potentially benefit and then marketing the scheme.</w:t>
      </w:r>
      <w:r w:rsidR="008320FE">
        <w:rPr>
          <w:rFonts w:cs="Arial"/>
        </w:rPr>
        <w:t xml:space="preserve">  The Government did recogn</w:t>
      </w:r>
      <w:r w:rsidR="00160D79">
        <w:rPr>
          <w:rFonts w:cs="Arial"/>
        </w:rPr>
        <w:t>i</w:t>
      </w:r>
      <w:r w:rsidR="008320FE">
        <w:rPr>
          <w:rFonts w:cs="Arial"/>
        </w:rPr>
        <w:t>se some of these challenges and has extended</w:t>
      </w:r>
      <w:r w:rsidR="00160D79">
        <w:rPr>
          <w:rFonts w:cs="Arial"/>
        </w:rPr>
        <w:t xml:space="preserve"> the timeframes for delivery.</w:t>
      </w:r>
      <w:r w:rsidR="00872511">
        <w:rPr>
          <w:rFonts w:cs="Arial"/>
        </w:rPr>
        <w:t xml:space="preserve"> T</w:t>
      </w:r>
      <w:r w:rsidR="008320FE">
        <w:rPr>
          <w:rFonts w:cs="Arial"/>
        </w:rPr>
        <w:t xml:space="preserve">he </w:t>
      </w:r>
      <w:r w:rsidR="009D33CC" w:rsidRPr="00BE7981">
        <w:rPr>
          <w:rFonts w:cs="Arial"/>
        </w:rPr>
        <w:t xml:space="preserve">scheme has now gained good </w:t>
      </w:r>
      <w:proofErr w:type="gramStart"/>
      <w:r w:rsidR="009E08A3">
        <w:rPr>
          <w:rFonts w:cs="Arial"/>
        </w:rPr>
        <w:t>momentum</w:t>
      </w:r>
      <w:proofErr w:type="gramEnd"/>
      <w:r w:rsidR="009F7493">
        <w:rPr>
          <w:rFonts w:cs="Arial"/>
        </w:rPr>
        <w:t xml:space="preserve"> but</w:t>
      </w:r>
      <w:r w:rsidR="00E53B32">
        <w:rPr>
          <w:rFonts w:cs="Arial"/>
        </w:rPr>
        <w:t xml:space="preserve"> it</w:t>
      </w:r>
      <w:r w:rsidR="009F7493">
        <w:rPr>
          <w:rFonts w:cs="Arial"/>
        </w:rPr>
        <w:t xml:space="preserve"> is a </w:t>
      </w:r>
      <w:r w:rsidR="004D50AE">
        <w:rPr>
          <w:rFonts w:cs="Arial"/>
        </w:rPr>
        <w:t xml:space="preserve">timely and </w:t>
      </w:r>
      <w:r w:rsidR="009F7493">
        <w:rPr>
          <w:rFonts w:cs="Arial"/>
        </w:rPr>
        <w:t xml:space="preserve">complex process. </w:t>
      </w:r>
      <w:r w:rsidR="007228DB">
        <w:rPr>
          <w:rFonts w:cs="Arial"/>
        </w:rPr>
        <w:t xml:space="preserve">Approvals generate workplans that the </w:t>
      </w:r>
      <w:r w:rsidR="0053362C">
        <w:rPr>
          <w:rFonts w:cs="Arial"/>
        </w:rPr>
        <w:t>resident agrees</w:t>
      </w:r>
      <w:r w:rsidR="003E30E5">
        <w:rPr>
          <w:rFonts w:cs="Arial"/>
        </w:rPr>
        <w:t xml:space="preserve">.  </w:t>
      </w:r>
      <w:r w:rsidR="00510AF9">
        <w:rPr>
          <w:rFonts w:cs="Arial"/>
        </w:rPr>
        <w:t>This</w:t>
      </w:r>
      <w:r w:rsidR="009D33CC" w:rsidRPr="00BE7981">
        <w:rPr>
          <w:rFonts w:cs="Arial"/>
        </w:rPr>
        <w:t xml:space="preserve"> move</w:t>
      </w:r>
      <w:r w:rsidR="00510AF9">
        <w:rPr>
          <w:rFonts w:cs="Arial"/>
        </w:rPr>
        <w:t>s</w:t>
      </w:r>
      <w:r w:rsidR="009D33CC" w:rsidRPr="00BE7981">
        <w:rPr>
          <w:rFonts w:cs="Arial"/>
        </w:rPr>
        <w:t xml:space="preserve"> to onsite works depends on final customer approval of the works.</w:t>
      </w:r>
      <w:r w:rsidR="009D33CC">
        <w:rPr>
          <w:rFonts w:cs="Arial"/>
        </w:rPr>
        <w:t xml:space="preserve"> </w:t>
      </w:r>
    </w:p>
    <w:p w14:paraId="1C808EF4" w14:textId="77777777" w:rsidR="009356A3" w:rsidRDefault="009356A3" w:rsidP="00454790">
      <w:pPr>
        <w:ind w:left="720"/>
        <w:rPr>
          <w:rFonts w:cs="Arial"/>
        </w:rPr>
      </w:pPr>
    </w:p>
    <w:p w14:paraId="5222D215" w14:textId="7CA79BAA" w:rsidR="009D33CC" w:rsidRPr="00255E57" w:rsidRDefault="009356A3" w:rsidP="009356A3">
      <w:pPr>
        <w:ind w:left="720" w:hanging="720"/>
        <w:rPr>
          <w:rFonts w:cs="Arial"/>
        </w:rPr>
      </w:pPr>
      <w:r>
        <w:rPr>
          <w:rFonts w:cs="Arial"/>
        </w:rPr>
        <w:t>4.</w:t>
      </w:r>
      <w:r w:rsidR="001963CC">
        <w:rPr>
          <w:rFonts w:cs="Arial"/>
        </w:rPr>
        <w:t>4</w:t>
      </w:r>
      <w:r>
        <w:rPr>
          <w:rFonts w:cs="Arial"/>
        </w:rPr>
        <w:tab/>
      </w:r>
      <w:r w:rsidR="009D33CC">
        <w:rPr>
          <w:rFonts w:cs="Arial"/>
        </w:rPr>
        <w:t xml:space="preserve">In figures </w:t>
      </w:r>
      <w:r w:rsidR="009D33CC" w:rsidRPr="00255E57">
        <w:rPr>
          <w:rFonts w:cs="Arial"/>
        </w:rPr>
        <w:t>BEIS have released about Phase 1</w:t>
      </w:r>
      <w:r w:rsidR="00ED0219">
        <w:rPr>
          <w:rFonts w:cs="Arial"/>
        </w:rPr>
        <w:t>a</w:t>
      </w:r>
      <w:r w:rsidR="009D33CC" w:rsidRPr="00255E57">
        <w:rPr>
          <w:rFonts w:cs="Arial"/>
        </w:rPr>
        <w:t xml:space="preserve"> </w:t>
      </w:r>
      <w:r w:rsidR="00724E62">
        <w:rPr>
          <w:rFonts w:cs="Arial"/>
        </w:rPr>
        <w:t xml:space="preserve">show that </w:t>
      </w:r>
      <w:r w:rsidR="009D33CC" w:rsidRPr="00255E57">
        <w:rPr>
          <w:rFonts w:cs="Arial"/>
        </w:rPr>
        <w:t xml:space="preserve">the </w:t>
      </w:r>
      <w:r w:rsidR="009D33CC">
        <w:rPr>
          <w:rFonts w:cs="Arial"/>
        </w:rPr>
        <w:t>West London</w:t>
      </w:r>
      <w:r w:rsidR="009D33CC" w:rsidRPr="00255E57">
        <w:rPr>
          <w:rFonts w:cs="Arial"/>
        </w:rPr>
        <w:t xml:space="preserve"> </w:t>
      </w:r>
      <w:r w:rsidR="00CE3FDB">
        <w:rPr>
          <w:rFonts w:cs="Arial"/>
        </w:rPr>
        <w:t>consortium</w:t>
      </w:r>
      <w:r w:rsidR="009D33CC" w:rsidRPr="00255E57">
        <w:rPr>
          <w:rFonts w:cs="Arial"/>
        </w:rPr>
        <w:t xml:space="preserve"> is </w:t>
      </w:r>
      <w:r w:rsidR="0058519A">
        <w:rPr>
          <w:rFonts w:cs="Arial"/>
        </w:rPr>
        <w:t xml:space="preserve">one of </w:t>
      </w:r>
      <w:r w:rsidR="00ED7087">
        <w:rPr>
          <w:rFonts w:cs="Arial"/>
        </w:rPr>
        <w:t>the best</w:t>
      </w:r>
      <w:r w:rsidR="00660481">
        <w:rPr>
          <w:rFonts w:cs="Arial"/>
        </w:rPr>
        <w:t xml:space="preserve"> performing</w:t>
      </w:r>
      <w:r w:rsidR="009D33CC" w:rsidRPr="00255E57">
        <w:rPr>
          <w:rFonts w:cs="Arial"/>
        </w:rPr>
        <w:t xml:space="preserve"> in the country</w:t>
      </w:r>
      <w:r w:rsidR="006955BC">
        <w:rPr>
          <w:rFonts w:cs="Arial"/>
        </w:rPr>
        <w:t>.</w:t>
      </w:r>
      <w:r w:rsidR="009D33CC" w:rsidRPr="00255E57">
        <w:rPr>
          <w:rFonts w:cs="Arial"/>
        </w:rPr>
        <w:t xml:space="preserve"> </w:t>
      </w:r>
      <w:r w:rsidR="006955BC">
        <w:rPr>
          <w:rFonts w:cs="Arial"/>
        </w:rPr>
        <w:t>B</w:t>
      </w:r>
      <w:r w:rsidR="009D33CC" w:rsidRPr="00255E57">
        <w:rPr>
          <w:rFonts w:cs="Arial"/>
        </w:rPr>
        <w:t>oth in terms of referrals into the program and measures delivered.</w:t>
      </w:r>
      <w:r w:rsidR="009D33CC">
        <w:rPr>
          <w:rFonts w:cs="Arial"/>
        </w:rPr>
        <w:t xml:space="preserve">  While there is a potential underspend for West London</w:t>
      </w:r>
      <w:r w:rsidR="00F45FCB">
        <w:rPr>
          <w:rFonts w:cs="Arial"/>
        </w:rPr>
        <w:t xml:space="preserve"> the scheme is expected to be extended until the end of November</w:t>
      </w:r>
      <w:r w:rsidR="00A917B6">
        <w:rPr>
          <w:rFonts w:cs="Arial"/>
        </w:rPr>
        <w:t xml:space="preserve">.  The Table below </w:t>
      </w:r>
      <w:r w:rsidR="0019313D">
        <w:rPr>
          <w:rFonts w:cs="Arial"/>
        </w:rPr>
        <w:t>from the end</w:t>
      </w:r>
      <w:r w:rsidR="00B26E35">
        <w:rPr>
          <w:rFonts w:cs="Arial"/>
        </w:rPr>
        <w:t xml:space="preserve"> of August Programme Report </w:t>
      </w:r>
      <w:r w:rsidR="00A917B6">
        <w:rPr>
          <w:rFonts w:cs="Arial"/>
        </w:rPr>
        <w:t xml:space="preserve">highlights that </w:t>
      </w:r>
      <w:r w:rsidR="009D33CC">
        <w:rPr>
          <w:rFonts w:cs="Arial"/>
        </w:rPr>
        <w:t xml:space="preserve">Harrow is in a better position than many other Boroughs in terms of ‘approvals’ in the bank.  </w:t>
      </w:r>
      <w:r w:rsidR="00937832">
        <w:rPr>
          <w:rFonts w:cs="Arial"/>
        </w:rPr>
        <w:t xml:space="preserve">If the </w:t>
      </w:r>
      <w:r w:rsidR="0019313D">
        <w:rPr>
          <w:rFonts w:cs="Arial"/>
        </w:rPr>
        <w:t>application</w:t>
      </w:r>
      <w:r w:rsidR="00B26E35">
        <w:rPr>
          <w:rFonts w:cs="Arial"/>
        </w:rPr>
        <w:t xml:space="preserve"> is extended until the end of </w:t>
      </w:r>
      <w:proofErr w:type="gramStart"/>
      <w:r w:rsidR="00B26E35">
        <w:rPr>
          <w:rFonts w:cs="Arial"/>
        </w:rPr>
        <w:t>November</w:t>
      </w:r>
      <w:proofErr w:type="gramEnd"/>
      <w:r w:rsidR="00B26E35">
        <w:rPr>
          <w:rFonts w:cs="Arial"/>
        </w:rPr>
        <w:t xml:space="preserve"> we will at least come close </w:t>
      </w:r>
      <w:r w:rsidR="002C3A12">
        <w:rPr>
          <w:rFonts w:cs="Arial"/>
        </w:rPr>
        <w:t xml:space="preserve">to </w:t>
      </w:r>
      <w:r w:rsidR="004223AD">
        <w:rPr>
          <w:rFonts w:cs="Arial"/>
        </w:rPr>
        <w:t xml:space="preserve">our </w:t>
      </w:r>
      <w:r w:rsidR="002C3A12">
        <w:rPr>
          <w:rFonts w:cs="Arial"/>
        </w:rPr>
        <w:t>target of 5</w:t>
      </w:r>
      <w:r w:rsidR="002B620B">
        <w:rPr>
          <w:rFonts w:cs="Arial"/>
        </w:rPr>
        <w:t>8</w:t>
      </w:r>
      <w:r w:rsidR="002C3A12">
        <w:rPr>
          <w:rFonts w:cs="Arial"/>
        </w:rPr>
        <w:t xml:space="preserve"> properties</w:t>
      </w:r>
      <w:r w:rsidR="009D33CC">
        <w:rPr>
          <w:rFonts w:cs="Arial"/>
        </w:rPr>
        <w:t>.</w:t>
      </w:r>
      <w:r w:rsidR="002C3A12">
        <w:rPr>
          <w:rFonts w:cs="Arial"/>
        </w:rPr>
        <w:t xml:space="preserve">  Further good news for Harrow is that we have also achieved </w:t>
      </w:r>
      <w:r w:rsidR="00153116">
        <w:rPr>
          <w:rFonts w:cs="Arial"/>
        </w:rPr>
        <w:t xml:space="preserve">the second highest average </w:t>
      </w:r>
      <w:r w:rsidR="0088530B">
        <w:rPr>
          <w:rFonts w:cs="Arial"/>
        </w:rPr>
        <w:t xml:space="preserve">grant figures per property at </w:t>
      </w:r>
      <w:r w:rsidR="00DF2D0B" w:rsidRPr="00E87A2E">
        <w:rPr>
          <w:rFonts w:cs="Arial"/>
        </w:rPr>
        <w:t>£</w:t>
      </w:r>
      <w:r w:rsidR="00130F21" w:rsidRPr="00E87A2E">
        <w:rPr>
          <w:rFonts w:cs="Arial"/>
        </w:rPr>
        <w:t>10,</w:t>
      </w:r>
      <w:r w:rsidR="00E87A2E" w:rsidRPr="00E87A2E">
        <w:rPr>
          <w:rFonts w:cs="Arial"/>
        </w:rPr>
        <w:t xml:space="preserve">681 in the </w:t>
      </w:r>
      <w:r w:rsidR="00CE3FDB">
        <w:rPr>
          <w:rFonts w:cs="Arial"/>
        </w:rPr>
        <w:t>consortium</w:t>
      </w:r>
      <w:r w:rsidR="00E87A2E" w:rsidRPr="00E87A2E">
        <w:rPr>
          <w:rFonts w:cs="Arial"/>
        </w:rPr>
        <w:t>.</w:t>
      </w:r>
    </w:p>
    <w:p w14:paraId="1CE2638C" w14:textId="77777777" w:rsidR="009D33CC" w:rsidRPr="00BE7981" w:rsidRDefault="009D33CC" w:rsidP="00454790">
      <w:pPr>
        <w:ind w:firstLine="851"/>
        <w:rPr>
          <w:rFonts w:cs="Arial"/>
        </w:rPr>
      </w:pPr>
    </w:p>
    <w:tbl>
      <w:tblPr>
        <w:tblW w:w="4680" w:type="dxa"/>
        <w:tblInd w:w="699" w:type="dxa"/>
        <w:tblCellMar>
          <w:left w:w="0" w:type="dxa"/>
          <w:right w:w="0" w:type="dxa"/>
        </w:tblCellMar>
        <w:tblLook w:val="04A0" w:firstRow="1" w:lastRow="0" w:firstColumn="1" w:lastColumn="0" w:noHBand="0" w:noVBand="1"/>
      </w:tblPr>
      <w:tblGrid>
        <w:gridCol w:w="1150"/>
        <w:gridCol w:w="1440"/>
        <w:gridCol w:w="1275"/>
        <w:gridCol w:w="1418"/>
      </w:tblGrid>
      <w:tr w:rsidR="009D33CC" w14:paraId="23FDC60C" w14:textId="77777777" w:rsidTr="0036099C">
        <w:trPr>
          <w:trHeight w:val="255"/>
        </w:trPr>
        <w:tc>
          <w:tcPr>
            <w:tcW w:w="468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411A543" w14:textId="77777777" w:rsidR="009D33CC" w:rsidRDefault="009D33CC" w:rsidP="00454790">
            <w:pPr>
              <w:ind w:hanging="822"/>
              <w:jc w:val="center"/>
            </w:pPr>
            <w:r>
              <w:rPr>
                <w:rFonts w:cs="Arial"/>
                <w:color w:val="000000"/>
                <w:sz w:val="20"/>
                <w:lang w:eastAsia="en-GB"/>
              </w:rPr>
              <w:t>LAD 1 ANTICIPATED SPEND SUMMARY</w:t>
            </w:r>
          </w:p>
        </w:tc>
      </w:tr>
      <w:tr w:rsidR="009D33CC" w14:paraId="0A810D3C" w14:textId="77777777" w:rsidTr="0036099C">
        <w:trPr>
          <w:trHeight w:val="255"/>
        </w:trPr>
        <w:tc>
          <w:tcPr>
            <w:tcW w:w="54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59A37181" w14:textId="77777777" w:rsidR="009D33CC" w:rsidRDefault="009D33CC" w:rsidP="00582DE3">
            <w:pPr>
              <w:ind w:left="-113"/>
              <w:jc w:val="center"/>
            </w:pPr>
            <w:r>
              <w:rPr>
                <w:rFonts w:cs="Arial"/>
                <w:color w:val="000000"/>
                <w:sz w:val="20"/>
                <w:lang w:eastAsia="en-GB"/>
              </w:rPr>
              <w:t>BOROUGH</w:t>
            </w:r>
          </w:p>
        </w:tc>
        <w:tc>
          <w:tcPr>
            <w:tcW w:w="144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E465613" w14:textId="77777777" w:rsidR="009D33CC" w:rsidRDefault="009D33CC" w:rsidP="00582DE3">
            <w:pPr>
              <w:jc w:val="center"/>
            </w:pPr>
            <w:r>
              <w:rPr>
                <w:rFonts w:cs="Arial"/>
                <w:color w:val="000000"/>
                <w:sz w:val="20"/>
                <w:lang w:eastAsia="en-GB"/>
              </w:rPr>
              <w:t>APPROVED</w:t>
            </w:r>
          </w:p>
        </w:tc>
        <w:tc>
          <w:tcPr>
            <w:tcW w:w="1275"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B610C8B" w14:textId="77777777" w:rsidR="009D33CC" w:rsidRDefault="009D33CC" w:rsidP="00582DE3">
            <w:pPr>
              <w:jc w:val="center"/>
            </w:pPr>
            <w:r>
              <w:rPr>
                <w:rFonts w:cs="Arial"/>
                <w:color w:val="000000"/>
                <w:sz w:val="20"/>
                <w:lang w:eastAsia="en-GB"/>
              </w:rPr>
              <w:t>PENDING</w:t>
            </w:r>
          </w:p>
        </w:tc>
        <w:tc>
          <w:tcPr>
            <w:tcW w:w="1418"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52AEADD" w14:textId="77777777" w:rsidR="009D33CC" w:rsidRDefault="009D33CC" w:rsidP="00582DE3">
            <w:pPr>
              <w:jc w:val="center"/>
            </w:pPr>
            <w:r>
              <w:rPr>
                <w:rFonts w:cs="Arial"/>
                <w:color w:val="000000"/>
                <w:sz w:val="20"/>
                <w:lang w:eastAsia="en-GB"/>
              </w:rPr>
              <w:t>TOTAL</w:t>
            </w:r>
          </w:p>
        </w:tc>
      </w:tr>
      <w:tr w:rsidR="009D33CC" w14:paraId="1B515883" w14:textId="77777777" w:rsidTr="0036099C">
        <w:trPr>
          <w:trHeight w:val="255"/>
        </w:trPr>
        <w:tc>
          <w:tcPr>
            <w:tcW w:w="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E56E79" w14:textId="77777777" w:rsidR="009D33CC" w:rsidRDefault="009D33CC" w:rsidP="00582DE3">
            <w:r>
              <w:rPr>
                <w:rFonts w:cs="Arial"/>
                <w:color w:val="000000"/>
                <w:sz w:val="20"/>
                <w:lang w:eastAsia="en-GB"/>
              </w:rPr>
              <w:t xml:space="preserve">Brent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CBC9DB" w14:textId="77777777" w:rsidR="009D33CC" w:rsidRDefault="009D33CC" w:rsidP="00582DE3">
            <w:r>
              <w:rPr>
                <w:rFonts w:cs="Arial"/>
                <w:color w:val="000000"/>
                <w:sz w:val="20"/>
                <w:lang w:eastAsia="en-GB"/>
              </w:rPr>
              <w:t xml:space="preserve"> £     226,852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0BD5B7" w14:textId="77777777" w:rsidR="009D33CC" w:rsidRDefault="009D33CC" w:rsidP="00582DE3">
            <w:r>
              <w:rPr>
                <w:rFonts w:cs="Arial"/>
                <w:color w:val="000000"/>
                <w:sz w:val="20"/>
                <w:lang w:eastAsia="en-GB"/>
              </w:rPr>
              <w:t xml:space="preserve"> £   63,117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28A53" w14:textId="77777777" w:rsidR="009D33CC" w:rsidRDefault="009D33CC" w:rsidP="00582DE3">
            <w:r>
              <w:rPr>
                <w:rFonts w:cs="Arial"/>
                <w:color w:val="000000"/>
                <w:sz w:val="20"/>
                <w:lang w:eastAsia="en-GB"/>
              </w:rPr>
              <w:t xml:space="preserve"> £     289,969 </w:t>
            </w:r>
          </w:p>
        </w:tc>
      </w:tr>
      <w:tr w:rsidR="009D33CC" w14:paraId="4FD3837A" w14:textId="77777777" w:rsidTr="0036099C">
        <w:trPr>
          <w:trHeight w:val="255"/>
        </w:trPr>
        <w:tc>
          <w:tcPr>
            <w:tcW w:w="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D6293" w14:textId="77777777" w:rsidR="009D33CC" w:rsidRDefault="009D33CC" w:rsidP="00582DE3">
            <w:r>
              <w:rPr>
                <w:rFonts w:cs="Arial"/>
                <w:color w:val="000000"/>
                <w:sz w:val="20"/>
                <w:lang w:eastAsia="en-GB"/>
              </w:rPr>
              <w:t xml:space="preserve"> Ealing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B51BB" w14:textId="77777777" w:rsidR="009D33CC" w:rsidRDefault="009D33CC" w:rsidP="00582DE3">
            <w:r>
              <w:rPr>
                <w:rFonts w:cs="Arial"/>
                <w:color w:val="000000"/>
                <w:sz w:val="20"/>
                <w:lang w:eastAsia="en-GB"/>
              </w:rPr>
              <w:t xml:space="preserve"> £     455,186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FB52D8" w14:textId="77777777" w:rsidR="009D33CC" w:rsidRDefault="009D33CC" w:rsidP="00582DE3">
            <w:r>
              <w:rPr>
                <w:rFonts w:cs="Arial"/>
                <w:color w:val="000000"/>
                <w:sz w:val="20"/>
                <w:lang w:eastAsia="en-GB"/>
              </w:rPr>
              <w:t xml:space="preserve"> £ 101,751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A5EF20" w14:textId="77777777" w:rsidR="009D33CC" w:rsidRDefault="009D33CC" w:rsidP="00582DE3">
            <w:r>
              <w:rPr>
                <w:rFonts w:cs="Arial"/>
                <w:color w:val="000000"/>
                <w:sz w:val="20"/>
                <w:lang w:eastAsia="en-GB"/>
              </w:rPr>
              <w:t xml:space="preserve"> £     556,937 </w:t>
            </w:r>
          </w:p>
        </w:tc>
      </w:tr>
      <w:tr w:rsidR="009D33CC" w14:paraId="3D5C3197" w14:textId="77777777" w:rsidTr="0036099C">
        <w:trPr>
          <w:trHeight w:val="255"/>
        </w:trPr>
        <w:tc>
          <w:tcPr>
            <w:tcW w:w="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67CBE5" w14:textId="77777777" w:rsidR="009D33CC" w:rsidRDefault="009D33CC" w:rsidP="00582DE3">
            <w:r>
              <w:rPr>
                <w:rFonts w:cs="Arial"/>
                <w:color w:val="000000"/>
                <w:sz w:val="20"/>
                <w:lang w:eastAsia="en-GB"/>
              </w:rPr>
              <w:t xml:space="preserve"> LBHF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05CB3D" w14:textId="77777777" w:rsidR="009D33CC" w:rsidRDefault="009D33CC" w:rsidP="00582DE3">
            <w:r>
              <w:rPr>
                <w:rFonts w:cs="Arial"/>
                <w:color w:val="000000"/>
                <w:sz w:val="20"/>
                <w:lang w:eastAsia="en-GB"/>
              </w:rPr>
              <w:t xml:space="preserve"> £     196,666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529BBB" w14:textId="77777777" w:rsidR="009D33CC" w:rsidRDefault="009D33CC" w:rsidP="00582DE3">
            <w:r>
              <w:rPr>
                <w:rFonts w:cs="Arial"/>
                <w:color w:val="000000"/>
                <w:sz w:val="20"/>
                <w:lang w:eastAsia="en-GB"/>
              </w:rPr>
              <w:t xml:space="preserve"> £   79,740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2D427B" w14:textId="77777777" w:rsidR="009D33CC" w:rsidRDefault="009D33CC" w:rsidP="00582DE3">
            <w:r>
              <w:rPr>
                <w:rFonts w:cs="Arial"/>
                <w:color w:val="000000"/>
                <w:sz w:val="20"/>
                <w:lang w:eastAsia="en-GB"/>
              </w:rPr>
              <w:t xml:space="preserve"> £     276,406 </w:t>
            </w:r>
          </w:p>
        </w:tc>
      </w:tr>
      <w:tr w:rsidR="009D33CC" w14:paraId="3F6CE234" w14:textId="77777777" w:rsidTr="0036099C">
        <w:trPr>
          <w:trHeight w:val="255"/>
        </w:trPr>
        <w:tc>
          <w:tcPr>
            <w:tcW w:w="547"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4E73D95" w14:textId="77777777" w:rsidR="009D33CC" w:rsidRDefault="009D33CC" w:rsidP="00582DE3">
            <w:r>
              <w:rPr>
                <w:rFonts w:cs="Arial"/>
                <w:color w:val="000000"/>
                <w:sz w:val="20"/>
                <w:lang w:eastAsia="en-GB"/>
              </w:rPr>
              <w:t xml:space="preserve"> Harrow </w:t>
            </w:r>
          </w:p>
        </w:tc>
        <w:tc>
          <w:tcPr>
            <w:tcW w:w="144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6323ACC" w14:textId="77777777" w:rsidR="009D33CC" w:rsidRDefault="009D33CC" w:rsidP="00582DE3">
            <w:r>
              <w:rPr>
                <w:rFonts w:cs="Arial"/>
                <w:color w:val="000000"/>
                <w:sz w:val="20"/>
                <w:lang w:eastAsia="en-GB"/>
              </w:rPr>
              <w:t xml:space="preserve"> £     340,794 </w:t>
            </w:r>
          </w:p>
        </w:tc>
        <w:tc>
          <w:tcPr>
            <w:tcW w:w="127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0066A64" w14:textId="77777777" w:rsidR="009D33CC" w:rsidRDefault="009D33CC" w:rsidP="00582DE3">
            <w:r>
              <w:rPr>
                <w:rFonts w:cs="Arial"/>
                <w:color w:val="000000"/>
                <w:sz w:val="20"/>
                <w:lang w:eastAsia="en-GB"/>
              </w:rPr>
              <w:t xml:space="preserve"> £   61,046 </w:t>
            </w:r>
          </w:p>
        </w:tc>
        <w:tc>
          <w:tcPr>
            <w:tcW w:w="1418"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12C66B5" w14:textId="77777777" w:rsidR="009D33CC" w:rsidRDefault="009D33CC" w:rsidP="00582DE3">
            <w:r>
              <w:rPr>
                <w:rFonts w:cs="Arial"/>
                <w:color w:val="000000"/>
                <w:sz w:val="20"/>
                <w:lang w:eastAsia="en-GB"/>
              </w:rPr>
              <w:t xml:space="preserve"> £     401,840 </w:t>
            </w:r>
          </w:p>
        </w:tc>
      </w:tr>
      <w:tr w:rsidR="009D33CC" w14:paraId="48DB3269" w14:textId="77777777" w:rsidTr="0036099C">
        <w:trPr>
          <w:trHeight w:val="255"/>
        </w:trPr>
        <w:tc>
          <w:tcPr>
            <w:tcW w:w="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2EC46C" w14:textId="77777777" w:rsidR="009D33CC" w:rsidRDefault="009D33CC" w:rsidP="00582DE3">
            <w:r>
              <w:rPr>
                <w:rFonts w:cs="Arial"/>
                <w:color w:val="000000"/>
                <w:sz w:val="20"/>
                <w:lang w:eastAsia="en-GB"/>
              </w:rPr>
              <w:t xml:space="preserve"> Hounslow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3253C7" w14:textId="77777777" w:rsidR="009D33CC" w:rsidRDefault="009D33CC" w:rsidP="00582DE3">
            <w:r>
              <w:rPr>
                <w:rFonts w:cs="Arial"/>
                <w:color w:val="000000"/>
                <w:sz w:val="20"/>
                <w:lang w:eastAsia="en-GB"/>
              </w:rPr>
              <w:t xml:space="preserve"> £     301,578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4CC64" w14:textId="77777777" w:rsidR="009D33CC" w:rsidRDefault="009D33CC" w:rsidP="00582DE3">
            <w:r>
              <w:rPr>
                <w:rFonts w:cs="Arial"/>
                <w:color w:val="000000"/>
                <w:sz w:val="20"/>
                <w:lang w:eastAsia="en-GB"/>
              </w:rPr>
              <w:t xml:space="preserve"> £   48,484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E1DCA9" w14:textId="77777777" w:rsidR="009D33CC" w:rsidRDefault="009D33CC" w:rsidP="00582DE3">
            <w:r>
              <w:rPr>
                <w:rFonts w:cs="Arial"/>
                <w:color w:val="000000"/>
                <w:sz w:val="20"/>
                <w:lang w:eastAsia="en-GB"/>
              </w:rPr>
              <w:t xml:space="preserve"> £     350,062 </w:t>
            </w:r>
          </w:p>
        </w:tc>
      </w:tr>
      <w:tr w:rsidR="009D33CC" w14:paraId="1FBA321E" w14:textId="77777777" w:rsidTr="0036099C">
        <w:trPr>
          <w:trHeight w:val="255"/>
        </w:trPr>
        <w:tc>
          <w:tcPr>
            <w:tcW w:w="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29B905" w14:textId="77777777" w:rsidR="009D33CC" w:rsidRDefault="009D33CC" w:rsidP="00582DE3">
            <w:r>
              <w:rPr>
                <w:rFonts w:cs="Arial"/>
                <w:color w:val="000000"/>
                <w:sz w:val="20"/>
                <w:lang w:eastAsia="en-GB"/>
              </w:rPr>
              <w:t xml:space="preserve"> RBKC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BA440" w14:textId="77777777" w:rsidR="009D33CC" w:rsidRDefault="009D33CC" w:rsidP="00582DE3">
            <w:r>
              <w:rPr>
                <w:rFonts w:cs="Arial"/>
                <w:color w:val="000000"/>
                <w:sz w:val="20"/>
                <w:lang w:eastAsia="en-GB"/>
              </w:rPr>
              <w:t xml:space="preserve"> £       15,459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8DDE6" w14:textId="77777777" w:rsidR="009D33CC" w:rsidRDefault="009D33CC" w:rsidP="00582DE3">
            <w:r>
              <w:rPr>
                <w:rFonts w:cs="Arial"/>
                <w:color w:val="000000"/>
                <w:sz w:val="20"/>
                <w:lang w:eastAsia="en-GB"/>
              </w:rPr>
              <w:t xml:space="preserve"> £   20,652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F5B8AA" w14:textId="77777777" w:rsidR="009D33CC" w:rsidRDefault="009D33CC" w:rsidP="00582DE3">
            <w:r>
              <w:rPr>
                <w:rFonts w:cs="Arial"/>
                <w:color w:val="000000"/>
                <w:sz w:val="20"/>
                <w:lang w:eastAsia="en-GB"/>
              </w:rPr>
              <w:t xml:space="preserve"> £      36,111 </w:t>
            </w:r>
          </w:p>
        </w:tc>
      </w:tr>
      <w:tr w:rsidR="009D33CC" w14:paraId="0A796A83" w14:textId="77777777" w:rsidTr="0036099C">
        <w:trPr>
          <w:trHeight w:val="255"/>
        </w:trPr>
        <w:tc>
          <w:tcPr>
            <w:tcW w:w="5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217301" w14:textId="77777777" w:rsidR="009D33CC" w:rsidRDefault="009D33CC" w:rsidP="00582DE3">
            <w:r>
              <w:rPr>
                <w:rFonts w:cs="Arial"/>
                <w:color w:val="000000"/>
                <w:sz w:val="20"/>
                <w:lang w:eastAsia="en-GB"/>
              </w:rPr>
              <w:t xml:space="preserve"> Lambeth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45B97E" w14:textId="77777777" w:rsidR="009D33CC" w:rsidRDefault="009D33CC" w:rsidP="00582DE3">
            <w:r>
              <w:rPr>
                <w:rFonts w:cs="Arial"/>
                <w:color w:val="000000"/>
                <w:sz w:val="20"/>
                <w:lang w:eastAsia="en-GB"/>
              </w:rPr>
              <w:t xml:space="preserve"> £     208,128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9DF3B" w14:textId="77777777" w:rsidR="009D33CC" w:rsidRDefault="009D33CC" w:rsidP="00582DE3">
            <w:r>
              <w:rPr>
                <w:rFonts w:cs="Arial"/>
                <w:color w:val="000000"/>
                <w:sz w:val="20"/>
                <w:lang w:eastAsia="en-GB"/>
              </w:rPr>
              <w:t xml:space="preserve"> £   27,200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5A6B6" w14:textId="77777777" w:rsidR="009D33CC" w:rsidRDefault="009D33CC" w:rsidP="00582DE3">
            <w:r>
              <w:rPr>
                <w:rFonts w:cs="Arial"/>
                <w:color w:val="000000"/>
                <w:sz w:val="20"/>
                <w:lang w:eastAsia="en-GB"/>
              </w:rPr>
              <w:t xml:space="preserve"> £     235,328 </w:t>
            </w:r>
          </w:p>
        </w:tc>
      </w:tr>
      <w:tr w:rsidR="009D33CC" w14:paraId="19F3112B" w14:textId="77777777" w:rsidTr="0036099C">
        <w:trPr>
          <w:trHeight w:val="255"/>
        </w:trPr>
        <w:tc>
          <w:tcPr>
            <w:tcW w:w="54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EF7E79F" w14:textId="77777777" w:rsidR="009D33CC" w:rsidRPr="00DE46E1" w:rsidRDefault="009D33CC" w:rsidP="00582DE3">
            <w:pPr>
              <w:rPr>
                <w:b/>
                <w:bCs/>
              </w:rPr>
            </w:pPr>
            <w:r w:rsidRPr="00DE46E1">
              <w:rPr>
                <w:rFonts w:cs="Arial"/>
                <w:b/>
                <w:bCs/>
                <w:color w:val="000000"/>
                <w:sz w:val="20"/>
                <w:lang w:eastAsia="en-GB"/>
              </w:rPr>
              <w:t xml:space="preserve"> Total </w:t>
            </w:r>
          </w:p>
        </w:tc>
        <w:tc>
          <w:tcPr>
            <w:tcW w:w="144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77DBC44" w14:textId="77777777" w:rsidR="009D33CC" w:rsidRPr="00DE46E1" w:rsidRDefault="009D33CC" w:rsidP="00582DE3">
            <w:pPr>
              <w:rPr>
                <w:b/>
                <w:bCs/>
              </w:rPr>
            </w:pPr>
            <w:r w:rsidRPr="00DE46E1">
              <w:rPr>
                <w:rFonts w:cs="Arial"/>
                <w:b/>
                <w:bCs/>
                <w:color w:val="000000"/>
                <w:sz w:val="20"/>
                <w:lang w:eastAsia="en-GB"/>
              </w:rPr>
              <w:t> </w:t>
            </w:r>
            <w:proofErr w:type="gramStart"/>
            <w:r w:rsidRPr="00DE46E1">
              <w:rPr>
                <w:rFonts w:cs="Arial"/>
                <w:b/>
                <w:bCs/>
                <w:color w:val="000000"/>
                <w:sz w:val="20"/>
                <w:lang w:eastAsia="en-GB"/>
              </w:rPr>
              <w:t>£  1,744,663</w:t>
            </w:r>
            <w:proofErr w:type="gramEnd"/>
            <w:r w:rsidRPr="00DE46E1">
              <w:rPr>
                <w:rFonts w:cs="Arial"/>
                <w:b/>
                <w:bCs/>
                <w:color w:val="000000"/>
                <w:sz w:val="20"/>
                <w:lang w:eastAsia="en-GB"/>
              </w:rPr>
              <w:t xml:space="preserve"> </w:t>
            </w:r>
          </w:p>
        </w:tc>
        <w:tc>
          <w:tcPr>
            <w:tcW w:w="1275"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DAC6021" w14:textId="77777777" w:rsidR="009D33CC" w:rsidRPr="00DE46E1" w:rsidRDefault="009D33CC" w:rsidP="00582DE3">
            <w:pPr>
              <w:rPr>
                <w:b/>
                <w:bCs/>
              </w:rPr>
            </w:pPr>
            <w:r w:rsidRPr="00DE46E1">
              <w:rPr>
                <w:rFonts w:cs="Arial"/>
                <w:b/>
                <w:bCs/>
                <w:color w:val="000000"/>
                <w:sz w:val="20"/>
                <w:lang w:eastAsia="en-GB"/>
              </w:rPr>
              <w:t xml:space="preserve"> £ 401,990 </w:t>
            </w:r>
          </w:p>
        </w:tc>
        <w:tc>
          <w:tcPr>
            <w:tcW w:w="1418"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8F0D39E" w14:textId="77777777" w:rsidR="009D33CC" w:rsidRPr="00DE46E1" w:rsidRDefault="009D33CC" w:rsidP="00582DE3">
            <w:pPr>
              <w:rPr>
                <w:b/>
                <w:bCs/>
              </w:rPr>
            </w:pPr>
            <w:r w:rsidRPr="00DE46E1">
              <w:rPr>
                <w:rFonts w:cs="Arial"/>
                <w:b/>
                <w:bCs/>
                <w:color w:val="000000"/>
                <w:sz w:val="20"/>
                <w:lang w:eastAsia="en-GB"/>
              </w:rPr>
              <w:t> </w:t>
            </w:r>
            <w:proofErr w:type="gramStart"/>
            <w:r w:rsidRPr="00DE46E1">
              <w:rPr>
                <w:rFonts w:cs="Arial"/>
                <w:b/>
                <w:bCs/>
                <w:color w:val="000000"/>
                <w:sz w:val="20"/>
                <w:lang w:eastAsia="en-GB"/>
              </w:rPr>
              <w:t>£  2,146,653</w:t>
            </w:r>
            <w:proofErr w:type="gramEnd"/>
            <w:r w:rsidRPr="00DE46E1">
              <w:rPr>
                <w:rFonts w:cs="Arial"/>
                <w:b/>
                <w:bCs/>
                <w:color w:val="000000"/>
                <w:sz w:val="20"/>
                <w:lang w:eastAsia="en-GB"/>
              </w:rPr>
              <w:t xml:space="preserve"> </w:t>
            </w:r>
          </w:p>
        </w:tc>
      </w:tr>
    </w:tbl>
    <w:p w14:paraId="1CE65E03" w14:textId="77777777" w:rsidR="009D33CC" w:rsidRDefault="009D33CC" w:rsidP="009D33CC">
      <w:pPr>
        <w:rPr>
          <w:rFonts w:cs="Arial"/>
        </w:rPr>
      </w:pPr>
    </w:p>
    <w:p w14:paraId="160464D5" w14:textId="58B8617B" w:rsidR="009D33CC" w:rsidRDefault="007B7468" w:rsidP="007B7468">
      <w:pPr>
        <w:ind w:left="720" w:hanging="720"/>
        <w:rPr>
          <w:rFonts w:cs="Arial"/>
        </w:rPr>
      </w:pPr>
      <w:r>
        <w:rPr>
          <w:rFonts w:cs="Arial"/>
        </w:rPr>
        <w:t>4.</w:t>
      </w:r>
      <w:r w:rsidR="001963CC">
        <w:rPr>
          <w:rFonts w:cs="Arial"/>
        </w:rPr>
        <w:t>5</w:t>
      </w:r>
      <w:r>
        <w:rPr>
          <w:rFonts w:cs="Arial"/>
        </w:rPr>
        <w:tab/>
      </w:r>
      <w:r w:rsidR="009D33CC">
        <w:rPr>
          <w:rFonts w:cs="Arial"/>
        </w:rPr>
        <w:t>The use of the grant has focussed on a</w:t>
      </w:r>
      <w:r w:rsidR="00D0116D">
        <w:rPr>
          <w:rFonts w:cs="Arial"/>
        </w:rPr>
        <w:t>n</w:t>
      </w:r>
      <w:r w:rsidR="009D33CC">
        <w:rPr>
          <w:rFonts w:cs="Arial"/>
        </w:rPr>
        <w:t xml:space="preserve"> approach of fabric first (insulation and ventilation).  This is seen as the first building block to achieving significant carbon reduction</w:t>
      </w:r>
      <w:r w:rsidR="00AA4C94">
        <w:rPr>
          <w:rFonts w:cs="Arial"/>
        </w:rPr>
        <w:t xml:space="preserve"> but </w:t>
      </w:r>
      <w:r w:rsidR="004223AD">
        <w:rPr>
          <w:rFonts w:cs="Arial"/>
        </w:rPr>
        <w:t xml:space="preserve">also </w:t>
      </w:r>
      <w:r w:rsidR="00AA4C94">
        <w:rPr>
          <w:rFonts w:cs="Arial"/>
        </w:rPr>
        <w:t xml:space="preserve">vitally </w:t>
      </w:r>
      <w:r w:rsidR="002B1204">
        <w:rPr>
          <w:rFonts w:cs="Arial"/>
        </w:rPr>
        <w:t>reducing</w:t>
      </w:r>
      <w:r w:rsidR="00AA4C94">
        <w:rPr>
          <w:rFonts w:cs="Arial"/>
        </w:rPr>
        <w:t xml:space="preserve"> a </w:t>
      </w:r>
      <w:r w:rsidR="002B1204">
        <w:rPr>
          <w:rFonts w:cs="Arial"/>
        </w:rPr>
        <w:t>resident’s</w:t>
      </w:r>
      <w:r w:rsidR="00AA4C94">
        <w:rPr>
          <w:rFonts w:cs="Arial"/>
        </w:rPr>
        <w:t xml:space="preserve"> energy bills</w:t>
      </w:r>
      <w:r w:rsidR="009D33CC">
        <w:rPr>
          <w:rFonts w:cs="Arial"/>
        </w:rPr>
        <w:t>.  Measures include underfloor/suspended floor insulation, low energy lighting, heating controls, AIREX ventilation control systems; internal wall insultation; external wall insulation</w:t>
      </w:r>
      <w:r w:rsidR="001A02E5">
        <w:rPr>
          <w:rFonts w:cs="Arial"/>
        </w:rPr>
        <w:t xml:space="preserve"> and</w:t>
      </w:r>
      <w:r w:rsidR="009D33CC">
        <w:rPr>
          <w:rFonts w:cs="Arial"/>
        </w:rPr>
        <w:t xml:space="preserve"> solar thermal measures. </w:t>
      </w:r>
    </w:p>
    <w:p w14:paraId="357CE42D" w14:textId="134A7315" w:rsidR="00DC7E96" w:rsidRDefault="00DC7E96" w:rsidP="007B7468">
      <w:pPr>
        <w:ind w:left="720" w:hanging="720"/>
        <w:rPr>
          <w:rFonts w:cs="Arial"/>
        </w:rPr>
      </w:pPr>
    </w:p>
    <w:p w14:paraId="3640FC81" w14:textId="348082E7" w:rsidR="00DC7E96" w:rsidRDefault="00DC7E96" w:rsidP="00DC7E96">
      <w:pPr>
        <w:spacing w:after="120"/>
        <w:ind w:left="720" w:hanging="720"/>
        <w:jc w:val="both"/>
        <w:rPr>
          <w:rFonts w:cs="Arial"/>
          <w:bCs/>
          <w:szCs w:val="24"/>
        </w:rPr>
      </w:pPr>
      <w:r>
        <w:rPr>
          <w:rFonts w:cs="Arial"/>
          <w:bCs/>
          <w:szCs w:val="24"/>
        </w:rPr>
        <w:t>4.</w:t>
      </w:r>
      <w:r w:rsidR="001963CC">
        <w:rPr>
          <w:rFonts w:cs="Arial"/>
          <w:bCs/>
          <w:szCs w:val="24"/>
        </w:rPr>
        <w:t>6</w:t>
      </w:r>
      <w:r>
        <w:rPr>
          <w:rFonts w:cs="Arial"/>
          <w:bCs/>
          <w:szCs w:val="24"/>
        </w:rPr>
        <w:tab/>
      </w:r>
      <w:r w:rsidRPr="007E76DA">
        <w:rPr>
          <w:rFonts w:cs="Arial"/>
          <w:bCs/>
          <w:szCs w:val="24"/>
        </w:rPr>
        <w:t xml:space="preserve">The Secretary of State and Department of Business, Energy, and Industrial Strategy (BEIS) announced non-competitive funding allocations for each borough under Phase 2 of the scheme. Phase 2 delivery is proposed to be an expansion of the current delivery model, with the addition of five boroughs, now including: London Boroughs of </w:t>
      </w:r>
      <w:r w:rsidRPr="007E76DA">
        <w:rPr>
          <w:rFonts w:cs="Arial"/>
          <w:bCs/>
          <w:szCs w:val="24"/>
        </w:rPr>
        <w:lastRenderedPageBreak/>
        <w:t>Barnet*</w:t>
      </w:r>
      <w:r w:rsidRPr="007E76DA">
        <w:rPr>
          <w:rStyle w:val="FootnoteReference"/>
          <w:rFonts w:cs="Arial"/>
          <w:bCs/>
          <w:szCs w:val="24"/>
        </w:rPr>
        <w:footnoteReference w:id="2"/>
      </w:r>
      <w:r w:rsidRPr="007E76DA">
        <w:rPr>
          <w:rFonts w:cs="Arial"/>
          <w:bCs/>
          <w:szCs w:val="24"/>
        </w:rPr>
        <w:t xml:space="preserve">, Brent, Hammersmith &amp; Fulham, Harrow, Hillingdon*, Hounslow, Lambeth, Newham*, Richmond*, Wandsworth*, and The Royal Borough of Kensington &amp; Chelsea. The Phase 2 </w:t>
      </w:r>
      <w:proofErr w:type="gramStart"/>
      <w:r w:rsidRPr="007E76DA">
        <w:rPr>
          <w:rFonts w:cs="Arial"/>
          <w:bCs/>
          <w:szCs w:val="24"/>
        </w:rPr>
        <w:t>GHG:LAD</w:t>
      </w:r>
      <w:proofErr w:type="gramEnd"/>
      <w:r w:rsidRPr="007E76DA">
        <w:rPr>
          <w:rFonts w:cs="Arial"/>
          <w:bCs/>
          <w:szCs w:val="24"/>
        </w:rPr>
        <w:t xml:space="preserve"> scheme is managed by the Greater South East Energy Hub (GSEEH) on behalf of BEIS.</w:t>
      </w:r>
    </w:p>
    <w:tbl>
      <w:tblPr>
        <w:tblW w:w="9077" w:type="dxa"/>
        <w:tblInd w:w="10" w:type="dxa"/>
        <w:tblCellMar>
          <w:left w:w="0" w:type="dxa"/>
          <w:right w:w="0" w:type="dxa"/>
        </w:tblCellMar>
        <w:tblLook w:val="04A0" w:firstRow="1" w:lastRow="0" w:firstColumn="1" w:lastColumn="0" w:noHBand="0" w:noVBand="1"/>
      </w:tblPr>
      <w:tblGrid>
        <w:gridCol w:w="7641"/>
        <w:gridCol w:w="547"/>
        <w:gridCol w:w="889"/>
      </w:tblGrid>
      <w:tr w:rsidR="009C1F70" w14:paraId="0F787C69" w14:textId="77777777" w:rsidTr="00DC7E96">
        <w:trPr>
          <w:trHeight w:val="260"/>
        </w:trPr>
        <w:tc>
          <w:tcPr>
            <w:tcW w:w="7641" w:type="dxa"/>
            <w:noWrap/>
            <w:tcMar>
              <w:top w:w="0" w:type="dxa"/>
              <w:left w:w="108" w:type="dxa"/>
              <w:bottom w:w="0" w:type="dxa"/>
              <w:right w:w="108" w:type="dxa"/>
            </w:tcMar>
            <w:vAlign w:val="bottom"/>
            <w:hideMark/>
          </w:tcPr>
          <w:p w14:paraId="419CEA77" w14:textId="544FF353" w:rsidR="009D33CC" w:rsidRDefault="007B7468" w:rsidP="00582DE3">
            <w:pPr>
              <w:ind w:hanging="120"/>
              <w:rPr>
                <w:rFonts w:cs="Arial"/>
                <w:b/>
                <w:bCs/>
                <w:color w:val="000000"/>
                <w:szCs w:val="24"/>
              </w:rPr>
            </w:pPr>
            <w:r>
              <w:rPr>
                <w:rFonts w:cs="Arial"/>
                <w:b/>
                <w:bCs/>
                <w:color w:val="000000"/>
                <w:szCs w:val="24"/>
              </w:rPr>
              <w:t>4.</w:t>
            </w:r>
            <w:r w:rsidR="001963CC">
              <w:rPr>
                <w:rFonts w:cs="Arial"/>
                <w:b/>
                <w:bCs/>
                <w:color w:val="000000"/>
                <w:szCs w:val="24"/>
              </w:rPr>
              <w:t xml:space="preserve">7      </w:t>
            </w:r>
            <w:r w:rsidR="009D33CC" w:rsidRPr="00E14213">
              <w:rPr>
                <w:rFonts w:cs="Arial"/>
                <w:b/>
                <w:bCs/>
                <w:color w:val="000000"/>
                <w:szCs w:val="24"/>
              </w:rPr>
              <w:t>Phase 2 GHG LAD</w:t>
            </w:r>
          </w:p>
          <w:p w14:paraId="1A3693B1" w14:textId="77777777" w:rsidR="00587EFA" w:rsidRDefault="00587EFA" w:rsidP="00582DE3">
            <w:pPr>
              <w:ind w:hanging="120"/>
              <w:rPr>
                <w:rFonts w:cs="Arial"/>
                <w:b/>
                <w:bCs/>
                <w:color w:val="000000"/>
                <w:szCs w:val="24"/>
              </w:rPr>
            </w:pPr>
          </w:p>
          <w:p w14:paraId="3BDB9BB7" w14:textId="678995CC" w:rsidR="009D33CC" w:rsidRDefault="00B93FEC" w:rsidP="007B7468">
            <w:pPr>
              <w:ind w:left="589"/>
              <w:rPr>
                <w:rFonts w:cs="Arial"/>
                <w:color w:val="000000"/>
                <w:szCs w:val="24"/>
              </w:rPr>
            </w:pPr>
            <w:r>
              <w:rPr>
                <w:rFonts w:cs="Arial"/>
                <w:color w:val="000000"/>
                <w:szCs w:val="24"/>
              </w:rPr>
              <w:t>T</w:t>
            </w:r>
            <w:r w:rsidR="003D4092">
              <w:rPr>
                <w:rFonts w:cs="Arial"/>
                <w:color w:val="000000"/>
                <w:szCs w:val="24"/>
              </w:rPr>
              <w:t xml:space="preserve">he West London Consortium was unsuccessful in </w:t>
            </w:r>
            <w:r w:rsidR="00455792">
              <w:rPr>
                <w:rFonts w:cs="Arial"/>
                <w:color w:val="000000"/>
                <w:szCs w:val="24"/>
              </w:rPr>
              <w:t xml:space="preserve">the </w:t>
            </w:r>
            <w:r w:rsidR="00C85ACA">
              <w:rPr>
                <w:rFonts w:cs="Arial"/>
                <w:color w:val="000000"/>
                <w:szCs w:val="24"/>
              </w:rPr>
              <w:t>p</w:t>
            </w:r>
            <w:r w:rsidR="003D4092">
              <w:rPr>
                <w:rFonts w:cs="Arial"/>
                <w:color w:val="000000"/>
                <w:szCs w:val="24"/>
              </w:rPr>
              <w:t>hase 1b</w:t>
            </w:r>
            <w:r>
              <w:rPr>
                <w:rFonts w:cs="Arial"/>
                <w:color w:val="000000"/>
                <w:szCs w:val="24"/>
              </w:rPr>
              <w:t xml:space="preserve"> of GHG LAD</w:t>
            </w:r>
            <w:r w:rsidR="00A369A8">
              <w:rPr>
                <w:rFonts w:cs="Arial"/>
                <w:color w:val="000000"/>
                <w:szCs w:val="24"/>
              </w:rPr>
              <w:t>.  However</w:t>
            </w:r>
            <w:r w:rsidR="00455792">
              <w:rPr>
                <w:rFonts w:cs="Arial"/>
                <w:color w:val="000000"/>
                <w:szCs w:val="24"/>
              </w:rPr>
              <w:t xml:space="preserve">, </w:t>
            </w:r>
            <w:r w:rsidR="00C85ACA">
              <w:rPr>
                <w:rFonts w:cs="Arial"/>
                <w:color w:val="000000"/>
                <w:szCs w:val="24"/>
              </w:rPr>
              <w:t xml:space="preserve">phase </w:t>
            </w:r>
            <w:r>
              <w:rPr>
                <w:rFonts w:cs="Arial"/>
                <w:color w:val="000000"/>
                <w:szCs w:val="24"/>
              </w:rPr>
              <w:t>2</w:t>
            </w:r>
            <w:r w:rsidR="00A369A8">
              <w:rPr>
                <w:rFonts w:cs="Arial"/>
                <w:color w:val="000000"/>
                <w:szCs w:val="24"/>
              </w:rPr>
              <w:t xml:space="preserve"> was funding </w:t>
            </w:r>
            <w:r w:rsidR="00455792">
              <w:rPr>
                <w:rFonts w:cs="Arial"/>
                <w:color w:val="000000"/>
                <w:szCs w:val="24"/>
              </w:rPr>
              <w:t xml:space="preserve">granted </w:t>
            </w:r>
            <w:r w:rsidR="00A369A8">
              <w:rPr>
                <w:rFonts w:cs="Arial"/>
                <w:color w:val="000000"/>
                <w:szCs w:val="24"/>
              </w:rPr>
              <w:t xml:space="preserve">based on </w:t>
            </w:r>
            <w:r w:rsidR="00185C1F">
              <w:rPr>
                <w:rFonts w:cs="Arial"/>
                <w:color w:val="000000"/>
                <w:szCs w:val="24"/>
              </w:rPr>
              <w:t>borough fuel poverty figures by BAIS</w:t>
            </w:r>
            <w:r w:rsidR="007B108C">
              <w:rPr>
                <w:rFonts w:cs="Arial"/>
                <w:color w:val="000000"/>
                <w:szCs w:val="24"/>
              </w:rPr>
              <w:t xml:space="preserve"> through the energy hubs to the West London Consortium.  </w:t>
            </w:r>
            <w:r w:rsidR="00D84631">
              <w:rPr>
                <w:rFonts w:cs="Arial"/>
                <w:color w:val="000000"/>
                <w:szCs w:val="24"/>
              </w:rPr>
              <w:t>Harrow</w:t>
            </w:r>
            <w:r w:rsidR="00A8508B">
              <w:rPr>
                <w:rFonts w:cs="Arial"/>
                <w:color w:val="000000"/>
                <w:szCs w:val="24"/>
              </w:rPr>
              <w:t>’</w:t>
            </w:r>
            <w:r w:rsidR="00D84631">
              <w:rPr>
                <w:rFonts w:cs="Arial"/>
                <w:color w:val="000000"/>
                <w:szCs w:val="24"/>
              </w:rPr>
              <w:t>s allocation here was £750,000.</w:t>
            </w:r>
            <w:r>
              <w:rPr>
                <w:rFonts w:cs="Arial"/>
                <w:color w:val="000000"/>
                <w:szCs w:val="24"/>
              </w:rPr>
              <w:t xml:space="preserve"> </w:t>
            </w:r>
            <w:r w:rsidR="00531F3E">
              <w:rPr>
                <w:rFonts w:cs="Arial"/>
                <w:color w:val="000000"/>
                <w:szCs w:val="24"/>
              </w:rPr>
              <w:t>Phase 2 delivery is yet to start</w:t>
            </w:r>
            <w:r w:rsidR="00DF470F">
              <w:rPr>
                <w:rFonts w:cs="Arial"/>
                <w:color w:val="000000"/>
                <w:szCs w:val="24"/>
              </w:rPr>
              <w:t xml:space="preserve"> t</w:t>
            </w:r>
            <w:r w:rsidR="005552CA">
              <w:rPr>
                <w:rFonts w:cs="Arial"/>
                <w:color w:val="000000"/>
                <w:szCs w:val="24"/>
              </w:rPr>
              <w:t xml:space="preserve">he table below </w:t>
            </w:r>
            <w:r w:rsidR="00784845">
              <w:rPr>
                <w:rFonts w:cs="Arial"/>
                <w:color w:val="000000"/>
                <w:szCs w:val="24"/>
              </w:rPr>
              <w:t xml:space="preserve">(from the Programme Board </w:t>
            </w:r>
            <w:r w:rsidR="00282870">
              <w:rPr>
                <w:rFonts w:cs="Arial"/>
                <w:color w:val="000000"/>
                <w:szCs w:val="24"/>
              </w:rPr>
              <w:t>Report 31</w:t>
            </w:r>
            <w:r w:rsidR="00282870" w:rsidRPr="00282870">
              <w:rPr>
                <w:rFonts w:cs="Arial"/>
                <w:color w:val="000000"/>
                <w:szCs w:val="24"/>
                <w:vertAlign w:val="superscript"/>
              </w:rPr>
              <w:t>st</w:t>
            </w:r>
            <w:r w:rsidR="00282870">
              <w:rPr>
                <w:rFonts w:cs="Arial"/>
                <w:color w:val="000000"/>
                <w:szCs w:val="24"/>
              </w:rPr>
              <w:t xml:space="preserve"> August 2021) </w:t>
            </w:r>
            <w:r w:rsidR="005552CA">
              <w:rPr>
                <w:rFonts w:cs="Arial"/>
                <w:color w:val="000000"/>
                <w:szCs w:val="24"/>
              </w:rPr>
              <w:t>shows</w:t>
            </w:r>
            <w:r w:rsidR="00282870">
              <w:rPr>
                <w:rFonts w:cs="Arial"/>
                <w:color w:val="000000"/>
                <w:szCs w:val="24"/>
              </w:rPr>
              <w:t xml:space="preserve"> </w:t>
            </w:r>
            <w:r w:rsidR="00E9234E">
              <w:rPr>
                <w:rFonts w:cs="Arial"/>
                <w:color w:val="000000"/>
                <w:szCs w:val="24"/>
              </w:rPr>
              <w:t>initial approvals measured against BEIS funding.</w:t>
            </w:r>
            <w:r w:rsidR="001C44FE">
              <w:rPr>
                <w:rFonts w:cs="Arial"/>
                <w:color w:val="000000"/>
                <w:szCs w:val="24"/>
              </w:rPr>
              <w:t xml:space="preserve">  While these are not signed </w:t>
            </w:r>
            <w:r w:rsidR="005B5860">
              <w:rPr>
                <w:rFonts w:cs="Arial"/>
                <w:color w:val="000000"/>
                <w:szCs w:val="24"/>
              </w:rPr>
              <w:t xml:space="preserve">resident </w:t>
            </w:r>
            <w:r w:rsidR="00B109AE">
              <w:rPr>
                <w:rFonts w:cs="Arial"/>
                <w:color w:val="000000"/>
                <w:szCs w:val="24"/>
              </w:rPr>
              <w:t>agreements,</w:t>
            </w:r>
            <w:r w:rsidR="001C44FE">
              <w:rPr>
                <w:rFonts w:cs="Arial"/>
                <w:color w:val="000000"/>
                <w:szCs w:val="24"/>
              </w:rPr>
              <w:t xml:space="preserve"> </w:t>
            </w:r>
            <w:r w:rsidR="00DC1B96">
              <w:rPr>
                <w:rFonts w:cs="Arial"/>
                <w:color w:val="000000"/>
                <w:szCs w:val="24"/>
              </w:rPr>
              <w:t xml:space="preserve">it </w:t>
            </w:r>
            <w:r w:rsidR="001C44FE">
              <w:rPr>
                <w:rFonts w:cs="Arial"/>
                <w:color w:val="000000"/>
                <w:szCs w:val="24"/>
              </w:rPr>
              <w:t>does highlight</w:t>
            </w:r>
            <w:r w:rsidR="00A07494">
              <w:rPr>
                <w:rFonts w:cs="Arial"/>
                <w:color w:val="000000"/>
                <w:szCs w:val="24"/>
              </w:rPr>
              <w:t xml:space="preserve"> that Harrow following </w:t>
            </w:r>
            <w:r w:rsidR="005B5860">
              <w:rPr>
                <w:rFonts w:cs="Arial"/>
                <w:color w:val="000000"/>
                <w:szCs w:val="24"/>
              </w:rPr>
              <w:t>Cabinet</w:t>
            </w:r>
            <w:r w:rsidR="00187D78">
              <w:rPr>
                <w:rFonts w:cs="Arial"/>
                <w:color w:val="000000"/>
                <w:szCs w:val="24"/>
              </w:rPr>
              <w:t xml:space="preserve"> approval </w:t>
            </w:r>
            <w:r w:rsidR="007A659D">
              <w:rPr>
                <w:rFonts w:cs="Arial"/>
                <w:color w:val="000000"/>
                <w:szCs w:val="24"/>
              </w:rPr>
              <w:t>should</w:t>
            </w:r>
            <w:r w:rsidR="00187D78">
              <w:rPr>
                <w:rFonts w:cs="Arial"/>
                <w:color w:val="000000"/>
                <w:szCs w:val="24"/>
              </w:rPr>
              <w:t xml:space="preserve"> achieve at least its BEIS indicative grant allocation</w:t>
            </w:r>
            <w:r w:rsidR="00857E91">
              <w:rPr>
                <w:rFonts w:cs="Arial"/>
                <w:color w:val="000000"/>
                <w:szCs w:val="24"/>
              </w:rPr>
              <w:t xml:space="preserve"> (with approv</w:t>
            </w:r>
            <w:r w:rsidR="00E63605">
              <w:rPr>
                <w:rFonts w:cs="Arial"/>
                <w:color w:val="000000"/>
                <w:szCs w:val="24"/>
              </w:rPr>
              <w:t>als at £1.04m against an allocation of £</w:t>
            </w:r>
            <w:r w:rsidR="004B1ECE">
              <w:rPr>
                <w:rFonts w:cs="Arial"/>
                <w:color w:val="000000"/>
                <w:szCs w:val="24"/>
              </w:rPr>
              <w:t>750,000)</w:t>
            </w:r>
            <w:r w:rsidR="00187D78">
              <w:rPr>
                <w:rFonts w:cs="Arial"/>
                <w:color w:val="000000"/>
                <w:szCs w:val="24"/>
              </w:rPr>
              <w:t>.</w:t>
            </w:r>
            <w:r w:rsidR="003945A9">
              <w:rPr>
                <w:rFonts w:cs="Arial"/>
                <w:color w:val="000000"/>
                <w:szCs w:val="24"/>
              </w:rPr>
              <w:t xml:space="preserve">  This is partly due to properties rated </w:t>
            </w:r>
            <w:r w:rsidR="00E34F54">
              <w:rPr>
                <w:rFonts w:cs="Arial"/>
                <w:color w:val="000000"/>
                <w:szCs w:val="24"/>
              </w:rPr>
              <w:t xml:space="preserve">EPC D </w:t>
            </w:r>
            <w:r w:rsidR="00D70CAD">
              <w:rPr>
                <w:rFonts w:cs="Arial"/>
                <w:color w:val="000000"/>
                <w:szCs w:val="24"/>
              </w:rPr>
              <w:t xml:space="preserve">being eligible for </w:t>
            </w:r>
            <w:r w:rsidR="00E34F54">
              <w:rPr>
                <w:rFonts w:cs="Arial"/>
                <w:color w:val="000000"/>
                <w:szCs w:val="24"/>
              </w:rPr>
              <w:t xml:space="preserve">Phase 2 as </w:t>
            </w:r>
            <w:r w:rsidR="00B109AE">
              <w:rPr>
                <w:rFonts w:cs="Arial"/>
                <w:color w:val="000000"/>
                <w:szCs w:val="24"/>
              </w:rPr>
              <w:t>this allows</w:t>
            </w:r>
            <w:r w:rsidR="00E34F54">
              <w:rPr>
                <w:rFonts w:cs="Arial"/>
                <w:color w:val="000000"/>
                <w:szCs w:val="24"/>
              </w:rPr>
              <w:t xml:space="preserve"> greater flexibili</w:t>
            </w:r>
            <w:r w:rsidR="004A0352">
              <w:rPr>
                <w:rFonts w:cs="Arial"/>
                <w:color w:val="000000"/>
                <w:szCs w:val="24"/>
              </w:rPr>
              <w:t>ty</w:t>
            </w:r>
            <w:r w:rsidR="00C0638E">
              <w:rPr>
                <w:rFonts w:cs="Arial"/>
                <w:color w:val="000000"/>
                <w:szCs w:val="24"/>
              </w:rPr>
              <w:t xml:space="preserve"> to apply the grant monies</w:t>
            </w:r>
            <w:r w:rsidR="004A0352">
              <w:rPr>
                <w:rFonts w:cs="Arial"/>
                <w:color w:val="000000"/>
                <w:szCs w:val="24"/>
              </w:rPr>
              <w:t>.</w:t>
            </w:r>
            <w:r w:rsidR="004B1ECE">
              <w:rPr>
                <w:rFonts w:cs="Arial"/>
                <w:color w:val="000000"/>
                <w:szCs w:val="24"/>
              </w:rPr>
              <w:t xml:space="preserve"> </w:t>
            </w:r>
            <w:r w:rsidR="00401282">
              <w:rPr>
                <w:rFonts w:cs="Arial"/>
                <w:color w:val="000000"/>
                <w:szCs w:val="24"/>
              </w:rPr>
              <w:t xml:space="preserve">At an average of £10k </w:t>
            </w:r>
            <w:r w:rsidR="00442A99">
              <w:rPr>
                <w:rFonts w:cs="Arial"/>
                <w:color w:val="000000"/>
                <w:szCs w:val="24"/>
              </w:rPr>
              <w:t xml:space="preserve">per grant it should mean that Harrow </w:t>
            </w:r>
            <w:r w:rsidR="00C0638E">
              <w:rPr>
                <w:rFonts w:cs="Arial"/>
                <w:color w:val="000000"/>
                <w:szCs w:val="24"/>
              </w:rPr>
              <w:t xml:space="preserve">is able to </w:t>
            </w:r>
            <w:r w:rsidR="00442A99">
              <w:rPr>
                <w:rFonts w:cs="Arial"/>
                <w:color w:val="000000"/>
                <w:szCs w:val="24"/>
              </w:rPr>
              <w:t xml:space="preserve">improve at least a further 75 </w:t>
            </w:r>
            <w:r w:rsidR="00511B7F">
              <w:rPr>
                <w:rFonts w:cs="Arial"/>
                <w:color w:val="000000"/>
                <w:szCs w:val="24"/>
              </w:rPr>
              <w:t>homes</w:t>
            </w:r>
            <w:r w:rsidR="00523749">
              <w:rPr>
                <w:rFonts w:cs="Arial"/>
                <w:color w:val="000000"/>
                <w:szCs w:val="24"/>
              </w:rPr>
              <w:t xml:space="preserve"> within the borough</w:t>
            </w:r>
            <w:r w:rsidR="00442A99">
              <w:rPr>
                <w:rFonts w:cs="Arial"/>
                <w:color w:val="000000"/>
                <w:szCs w:val="24"/>
              </w:rPr>
              <w:t xml:space="preserve">.  The number of </w:t>
            </w:r>
            <w:r w:rsidR="00511B7F">
              <w:rPr>
                <w:rFonts w:cs="Arial"/>
                <w:color w:val="000000"/>
                <w:szCs w:val="24"/>
              </w:rPr>
              <w:t>homes</w:t>
            </w:r>
            <w:r w:rsidR="00442A99">
              <w:rPr>
                <w:rFonts w:cs="Arial"/>
                <w:color w:val="000000"/>
                <w:szCs w:val="24"/>
              </w:rPr>
              <w:t xml:space="preserve"> increases if </w:t>
            </w:r>
            <w:r w:rsidR="00315A99">
              <w:rPr>
                <w:rFonts w:cs="Arial"/>
                <w:color w:val="000000"/>
                <w:szCs w:val="24"/>
              </w:rPr>
              <w:t xml:space="preserve">landlords </w:t>
            </w:r>
            <w:r w:rsidR="009D4450">
              <w:rPr>
                <w:rFonts w:cs="Arial"/>
                <w:color w:val="000000"/>
                <w:szCs w:val="24"/>
              </w:rPr>
              <w:t xml:space="preserve">receive the £5k grant where they contribute at least </w:t>
            </w:r>
            <w:r w:rsidR="00511B7F">
              <w:rPr>
                <w:rFonts w:cs="Arial"/>
                <w:color w:val="000000"/>
                <w:szCs w:val="24"/>
              </w:rPr>
              <w:t xml:space="preserve">one third. </w:t>
            </w:r>
            <w:r w:rsidR="004B1ECE">
              <w:rPr>
                <w:rFonts w:cs="Arial"/>
                <w:color w:val="000000"/>
                <w:szCs w:val="24"/>
              </w:rPr>
              <w:t xml:space="preserve">It also means that Harrow is in a good position </w:t>
            </w:r>
            <w:r w:rsidR="00913ADD">
              <w:rPr>
                <w:rFonts w:cs="Arial"/>
                <w:color w:val="000000"/>
                <w:szCs w:val="24"/>
              </w:rPr>
              <w:t xml:space="preserve">should </w:t>
            </w:r>
            <w:r w:rsidR="00E44683">
              <w:rPr>
                <w:rFonts w:cs="Arial"/>
                <w:color w:val="000000"/>
                <w:szCs w:val="24"/>
              </w:rPr>
              <w:t xml:space="preserve">there be agreement to potentially </w:t>
            </w:r>
            <w:r w:rsidR="00F5359B">
              <w:rPr>
                <w:rFonts w:cs="Arial"/>
                <w:color w:val="000000"/>
                <w:szCs w:val="24"/>
              </w:rPr>
              <w:t>r</w:t>
            </w:r>
            <w:r w:rsidR="00420684">
              <w:rPr>
                <w:rFonts w:cs="Arial"/>
                <w:color w:val="000000"/>
                <w:szCs w:val="24"/>
              </w:rPr>
              <w:t>ecycle unspent funding to those Boroughs capable of delivering</w:t>
            </w:r>
            <w:r w:rsidR="00523749">
              <w:rPr>
                <w:rFonts w:cs="Arial"/>
                <w:color w:val="000000"/>
                <w:szCs w:val="24"/>
              </w:rPr>
              <w:t xml:space="preserve"> </w:t>
            </w:r>
            <w:r w:rsidR="00D229BB">
              <w:rPr>
                <w:rFonts w:cs="Arial"/>
                <w:color w:val="000000"/>
                <w:szCs w:val="24"/>
              </w:rPr>
              <w:t xml:space="preserve">works to </w:t>
            </w:r>
            <w:r w:rsidR="00523749">
              <w:rPr>
                <w:rFonts w:cs="Arial"/>
                <w:color w:val="000000"/>
                <w:szCs w:val="24"/>
              </w:rPr>
              <w:t>additional homes</w:t>
            </w:r>
            <w:r w:rsidR="00420684">
              <w:rPr>
                <w:rFonts w:cs="Arial"/>
                <w:color w:val="000000"/>
                <w:szCs w:val="24"/>
              </w:rPr>
              <w:t>.</w:t>
            </w:r>
          </w:p>
          <w:p w14:paraId="7E072EE5" w14:textId="77777777" w:rsidR="002C01C8" w:rsidRDefault="002C01C8" w:rsidP="007B7468">
            <w:pPr>
              <w:ind w:left="589"/>
              <w:rPr>
                <w:rFonts w:cs="Arial"/>
                <w:color w:val="000000"/>
                <w:szCs w:val="24"/>
              </w:rPr>
            </w:pPr>
          </w:p>
          <w:p w14:paraId="0D1CF68C" w14:textId="39A345C6" w:rsidR="00BC6DBC" w:rsidRDefault="00587EFA" w:rsidP="00055CD6">
            <w:pPr>
              <w:ind w:left="589" w:hanging="568"/>
              <w:rPr>
                <w:rFonts w:cs="Arial"/>
                <w:color w:val="000000"/>
                <w:szCs w:val="24"/>
              </w:rPr>
            </w:pPr>
            <w:r>
              <w:rPr>
                <w:rFonts w:cs="Arial"/>
                <w:color w:val="000000"/>
                <w:szCs w:val="24"/>
              </w:rPr>
              <w:t xml:space="preserve">        </w:t>
            </w:r>
            <w:r w:rsidR="00BC6DBC">
              <w:rPr>
                <w:rFonts w:cs="Arial"/>
                <w:color w:val="000000"/>
                <w:szCs w:val="24"/>
              </w:rPr>
              <w:t xml:space="preserve">Within our original bid Harrow has the flexibility of including up     </w:t>
            </w:r>
            <w:r w:rsidR="002C01C8">
              <w:rPr>
                <w:rFonts w:cs="Arial"/>
                <w:color w:val="000000"/>
                <w:szCs w:val="24"/>
              </w:rPr>
              <w:t xml:space="preserve">                         </w:t>
            </w:r>
            <w:r w:rsidR="00BC6DBC">
              <w:rPr>
                <w:rFonts w:cs="Arial"/>
                <w:color w:val="000000"/>
                <w:szCs w:val="24"/>
              </w:rPr>
              <w:t xml:space="preserve">to 30 HRA properties.  As a landlord the Council would be entitled to £5k per property a total of £150k Green Homes Grant but contribute at least one third more to this, a further £75,000 from HRA funding. This would mean a total of £225,000.  We would like to retain this flexibility </w:t>
            </w:r>
            <w:r w:rsidR="00941B87">
              <w:rPr>
                <w:rFonts w:cs="Arial"/>
                <w:color w:val="000000"/>
                <w:szCs w:val="24"/>
              </w:rPr>
              <w:t xml:space="preserve">to include </w:t>
            </w:r>
            <w:r w:rsidR="00802A69">
              <w:rPr>
                <w:rFonts w:cs="Arial"/>
                <w:color w:val="000000"/>
                <w:szCs w:val="24"/>
              </w:rPr>
              <w:t xml:space="preserve">HRA properties </w:t>
            </w:r>
            <w:r w:rsidR="00BC6DBC">
              <w:rPr>
                <w:rFonts w:cs="Arial"/>
                <w:color w:val="000000"/>
                <w:szCs w:val="24"/>
              </w:rPr>
              <w:t>especially if more funding from Phase 2 is recycled from those boroughs who are unable to achieve delivery by the end of March.</w:t>
            </w:r>
          </w:p>
          <w:p w14:paraId="5AE0A122" w14:textId="769274BB" w:rsidR="00D84631" w:rsidRDefault="00D84631" w:rsidP="00055CD6">
            <w:pPr>
              <w:ind w:left="589" w:hanging="568"/>
              <w:rPr>
                <w:rFonts w:cs="Arial"/>
                <w:color w:val="000000"/>
                <w:szCs w:val="24"/>
              </w:rPr>
            </w:pPr>
          </w:p>
          <w:p w14:paraId="6B9532E6" w14:textId="55CEA341" w:rsidR="00D84631" w:rsidRDefault="00D84631" w:rsidP="00055CD6">
            <w:pPr>
              <w:ind w:left="589" w:hanging="568"/>
              <w:rPr>
                <w:rFonts w:cs="Arial"/>
                <w:color w:val="000000"/>
                <w:szCs w:val="24"/>
              </w:rPr>
            </w:pPr>
          </w:p>
          <w:p w14:paraId="7359DEA2" w14:textId="59BEEDE0" w:rsidR="00D84631" w:rsidRDefault="00D84631" w:rsidP="00055CD6">
            <w:pPr>
              <w:ind w:left="589" w:hanging="568"/>
              <w:rPr>
                <w:rFonts w:cs="Arial"/>
                <w:color w:val="000000"/>
                <w:szCs w:val="24"/>
              </w:rPr>
            </w:pPr>
          </w:p>
          <w:p w14:paraId="0CB8A27D" w14:textId="223E4F68" w:rsidR="00D84631" w:rsidRDefault="00D84631" w:rsidP="00055CD6">
            <w:pPr>
              <w:ind w:left="589" w:hanging="568"/>
              <w:rPr>
                <w:rFonts w:cs="Arial"/>
                <w:color w:val="000000"/>
                <w:szCs w:val="24"/>
              </w:rPr>
            </w:pPr>
          </w:p>
          <w:p w14:paraId="4B7912E3" w14:textId="704085AF" w:rsidR="00D84631" w:rsidRDefault="00D84631" w:rsidP="00055CD6">
            <w:pPr>
              <w:ind w:left="589" w:hanging="568"/>
              <w:rPr>
                <w:rFonts w:cs="Arial"/>
                <w:color w:val="000000"/>
                <w:szCs w:val="24"/>
              </w:rPr>
            </w:pPr>
          </w:p>
          <w:p w14:paraId="76558F0B" w14:textId="4B5D9E98" w:rsidR="00117B1B" w:rsidRDefault="00117B1B" w:rsidP="00055CD6">
            <w:pPr>
              <w:ind w:left="589" w:hanging="568"/>
              <w:rPr>
                <w:rFonts w:cs="Arial"/>
                <w:color w:val="000000"/>
                <w:szCs w:val="24"/>
              </w:rPr>
            </w:pPr>
          </w:p>
          <w:p w14:paraId="619A01F6" w14:textId="6C4A24EA" w:rsidR="00117B1B" w:rsidRDefault="00117B1B" w:rsidP="00055CD6">
            <w:pPr>
              <w:ind w:left="589" w:hanging="568"/>
              <w:rPr>
                <w:rFonts w:cs="Arial"/>
                <w:color w:val="000000"/>
                <w:szCs w:val="24"/>
              </w:rPr>
            </w:pPr>
          </w:p>
          <w:p w14:paraId="73770A15" w14:textId="38CAC92E" w:rsidR="00117B1B" w:rsidRDefault="00117B1B" w:rsidP="00055CD6">
            <w:pPr>
              <w:ind w:left="589" w:hanging="568"/>
              <w:rPr>
                <w:rFonts w:cs="Arial"/>
                <w:color w:val="000000"/>
                <w:szCs w:val="24"/>
              </w:rPr>
            </w:pPr>
          </w:p>
          <w:p w14:paraId="5694C5CC" w14:textId="24750604" w:rsidR="00117B1B" w:rsidRDefault="00117B1B" w:rsidP="00055CD6">
            <w:pPr>
              <w:ind w:left="589" w:hanging="568"/>
              <w:rPr>
                <w:rFonts w:cs="Arial"/>
                <w:color w:val="000000"/>
                <w:szCs w:val="24"/>
              </w:rPr>
            </w:pPr>
          </w:p>
          <w:p w14:paraId="3874984D" w14:textId="77777777" w:rsidR="00117B1B" w:rsidRDefault="00117B1B" w:rsidP="00055CD6">
            <w:pPr>
              <w:ind w:left="589" w:hanging="568"/>
              <w:rPr>
                <w:rFonts w:cs="Arial"/>
                <w:color w:val="000000"/>
                <w:szCs w:val="24"/>
              </w:rPr>
            </w:pPr>
          </w:p>
          <w:p w14:paraId="005E41AE" w14:textId="77777777" w:rsidR="00D84631" w:rsidRDefault="00D84631" w:rsidP="00055CD6">
            <w:pPr>
              <w:ind w:left="589" w:hanging="568"/>
              <w:rPr>
                <w:rFonts w:cs="Arial"/>
                <w:color w:val="000000"/>
                <w:szCs w:val="24"/>
              </w:rPr>
            </w:pPr>
          </w:p>
          <w:p w14:paraId="772F2614" w14:textId="66D4BA49" w:rsidR="002C01C8" w:rsidRDefault="002C01C8" w:rsidP="002C01C8">
            <w:pPr>
              <w:ind w:left="447" w:hanging="426"/>
              <w:rPr>
                <w:rFonts w:cs="Arial"/>
                <w:color w:val="000000"/>
                <w:szCs w:val="24"/>
              </w:rPr>
            </w:pPr>
          </w:p>
          <w:tbl>
            <w:tblPr>
              <w:tblW w:w="6826" w:type="dxa"/>
              <w:tblInd w:w="579" w:type="dxa"/>
              <w:tblLook w:val="04A0" w:firstRow="1" w:lastRow="0" w:firstColumn="1" w:lastColumn="0" w:noHBand="0" w:noVBand="1"/>
            </w:tblPr>
            <w:tblGrid>
              <w:gridCol w:w="2640"/>
              <w:gridCol w:w="1360"/>
              <w:gridCol w:w="1520"/>
              <w:gridCol w:w="1306"/>
            </w:tblGrid>
            <w:tr w:rsidR="009C1F70" w:rsidRPr="009C1F70" w14:paraId="7D46DAE2" w14:textId="77777777" w:rsidTr="004A0352">
              <w:trPr>
                <w:cantSplit/>
                <w:trHeight w:val="1227"/>
              </w:trPr>
              <w:tc>
                <w:tcPr>
                  <w:tcW w:w="2640" w:type="dxa"/>
                  <w:vMerge w:val="restart"/>
                  <w:tcBorders>
                    <w:top w:val="single" w:sz="8" w:space="0" w:color="auto"/>
                    <w:left w:val="single" w:sz="8" w:space="0" w:color="auto"/>
                    <w:bottom w:val="single" w:sz="8" w:space="0" w:color="000000"/>
                    <w:right w:val="single" w:sz="8" w:space="0" w:color="auto"/>
                  </w:tcBorders>
                  <w:shd w:val="clear" w:color="000000" w:fill="A6A6A6"/>
                  <w:hideMark/>
                </w:tcPr>
                <w:p w14:paraId="542662A5"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lastRenderedPageBreak/>
                    <w:t> </w:t>
                  </w:r>
                </w:p>
              </w:tc>
              <w:tc>
                <w:tcPr>
                  <w:tcW w:w="1360" w:type="dxa"/>
                  <w:vMerge w:val="restart"/>
                  <w:tcBorders>
                    <w:top w:val="single" w:sz="8" w:space="0" w:color="auto"/>
                    <w:left w:val="single" w:sz="8" w:space="0" w:color="auto"/>
                    <w:bottom w:val="single" w:sz="8" w:space="0" w:color="000000"/>
                    <w:right w:val="single" w:sz="8" w:space="0" w:color="auto"/>
                  </w:tcBorders>
                  <w:shd w:val="clear" w:color="000000" w:fill="A6A6A6"/>
                  <w:hideMark/>
                </w:tcPr>
                <w:p w14:paraId="5FA33D70"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Total indicative allocation (£m)</w:t>
                  </w:r>
                </w:p>
              </w:tc>
              <w:tc>
                <w:tcPr>
                  <w:tcW w:w="1520" w:type="dxa"/>
                  <w:vMerge w:val="restart"/>
                  <w:tcBorders>
                    <w:top w:val="single" w:sz="8" w:space="0" w:color="auto"/>
                    <w:left w:val="single" w:sz="8" w:space="0" w:color="auto"/>
                    <w:bottom w:val="single" w:sz="8" w:space="0" w:color="000000"/>
                    <w:right w:val="single" w:sz="8" w:space="0" w:color="auto"/>
                  </w:tcBorders>
                  <w:shd w:val="clear" w:color="000000" w:fill="A6A6A6"/>
                  <w:hideMark/>
                </w:tcPr>
                <w:p w14:paraId="1478E84D" w14:textId="5C876379" w:rsidR="009C1F70" w:rsidRPr="009C1F70" w:rsidRDefault="009C1F70" w:rsidP="009C1F70">
                  <w:pPr>
                    <w:rPr>
                      <w:rFonts w:cs="Arial"/>
                      <w:b/>
                      <w:bCs/>
                      <w:color w:val="000000"/>
                      <w:sz w:val="20"/>
                      <w:lang w:eastAsia="en-GB"/>
                    </w:rPr>
                  </w:pPr>
                  <w:r w:rsidRPr="009C1F70">
                    <w:rPr>
                      <w:rFonts w:cs="Arial"/>
                      <w:b/>
                      <w:bCs/>
                      <w:color w:val="000000"/>
                      <w:sz w:val="20"/>
                      <w:lang w:eastAsia="en-GB"/>
                    </w:rPr>
                    <w:t xml:space="preserve">Forecast </w:t>
                  </w:r>
                  <w:r w:rsidR="00374285">
                    <w:rPr>
                      <w:rFonts w:cs="Arial"/>
                      <w:b/>
                      <w:bCs/>
                      <w:color w:val="000000"/>
                      <w:sz w:val="20"/>
                      <w:lang w:eastAsia="en-GB"/>
                    </w:rPr>
                    <w:t xml:space="preserve">based on initial approvals </w:t>
                  </w:r>
                  <w:r w:rsidRPr="009C1F70">
                    <w:rPr>
                      <w:rFonts w:cs="Arial"/>
                      <w:b/>
                      <w:bCs/>
                      <w:color w:val="000000"/>
                      <w:sz w:val="20"/>
                      <w:lang w:eastAsia="en-GB"/>
                    </w:rPr>
                    <w:t>(£m)</w:t>
                  </w:r>
                </w:p>
              </w:tc>
              <w:tc>
                <w:tcPr>
                  <w:tcW w:w="1306" w:type="dxa"/>
                  <w:tcBorders>
                    <w:top w:val="single" w:sz="8" w:space="0" w:color="auto"/>
                    <w:left w:val="nil"/>
                    <w:bottom w:val="nil"/>
                    <w:right w:val="single" w:sz="8" w:space="0" w:color="auto"/>
                  </w:tcBorders>
                  <w:shd w:val="clear" w:color="000000" w:fill="A6A6A6"/>
                  <w:hideMark/>
                </w:tcPr>
                <w:p w14:paraId="7D749A0D" w14:textId="06EEE077" w:rsidR="009C1F70" w:rsidRPr="009C1F70" w:rsidRDefault="009C1F70" w:rsidP="009C1F70">
                  <w:pPr>
                    <w:rPr>
                      <w:rFonts w:cs="Arial"/>
                      <w:b/>
                      <w:bCs/>
                      <w:color w:val="000000"/>
                      <w:sz w:val="20"/>
                      <w:lang w:eastAsia="en-GB"/>
                    </w:rPr>
                  </w:pPr>
                  <w:r w:rsidRPr="009C1F70">
                    <w:rPr>
                      <w:rFonts w:cs="Arial"/>
                      <w:b/>
                      <w:bCs/>
                      <w:color w:val="000000"/>
                      <w:sz w:val="20"/>
                      <w:lang w:eastAsia="en-GB"/>
                    </w:rPr>
                    <w:t>Over/Under</w:t>
                  </w:r>
                  <w:r w:rsidR="003C75E2">
                    <w:rPr>
                      <w:rFonts w:cs="Arial"/>
                      <w:b/>
                      <w:bCs/>
                      <w:color w:val="000000"/>
                      <w:sz w:val="20"/>
                      <w:lang w:eastAsia="en-GB"/>
                    </w:rPr>
                    <w:t xml:space="preserve"> (£m)</w:t>
                  </w:r>
                </w:p>
              </w:tc>
            </w:tr>
            <w:tr w:rsidR="009C1F70" w:rsidRPr="009C1F70" w14:paraId="52981286" w14:textId="77777777" w:rsidTr="004A0352">
              <w:trPr>
                <w:trHeight w:val="294"/>
              </w:trPr>
              <w:tc>
                <w:tcPr>
                  <w:tcW w:w="2640" w:type="dxa"/>
                  <w:vMerge/>
                  <w:tcBorders>
                    <w:top w:val="single" w:sz="8" w:space="0" w:color="auto"/>
                    <w:left w:val="single" w:sz="8" w:space="0" w:color="auto"/>
                    <w:bottom w:val="single" w:sz="8" w:space="0" w:color="000000"/>
                    <w:right w:val="single" w:sz="8" w:space="0" w:color="auto"/>
                  </w:tcBorders>
                  <w:vAlign w:val="center"/>
                  <w:hideMark/>
                </w:tcPr>
                <w:p w14:paraId="2247FB2D" w14:textId="77777777" w:rsidR="009C1F70" w:rsidRPr="009C1F70" w:rsidRDefault="009C1F70" w:rsidP="009C1F70">
                  <w:pPr>
                    <w:rPr>
                      <w:rFonts w:cs="Arial"/>
                      <w:b/>
                      <w:bCs/>
                      <w:color w:val="000000"/>
                      <w:sz w:val="20"/>
                      <w:lang w:eastAsia="en-GB"/>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3E7BB68E" w14:textId="77777777" w:rsidR="009C1F70" w:rsidRPr="009C1F70" w:rsidRDefault="009C1F70" w:rsidP="009C1F70">
                  <w:pPr>
                    <w:rPr>
                      <w:rFonts w:cs="Arial"/>
                      <w:b/>
                      <w:bCs/>
                      <w:color w:val="000000"/>
                      <w:sz w:val="20"/>
                      <w:lang w:eastAsia="en-GB"/>
                    </w:rPr>
                  </w:pPr>
                </w:p>
              </w:tc>
              <w:tc>
                <w:tcPr>
                  <w:tcW w:w="1520" w:type="dxa"/>
                  <w:vMerge/>
                  <w:tcBorders>
                    <w:top w:val="single" w:sz="8" w:space="0" w:color="auto"/>
                    <w:left w:val="single" w:sz="8" w:space="0" w:color="auto"/>
                    <w:bottom w:val="single" w:sz="8" w:space="0" w:color="000000"/>
                    <w:right w:val="single" w:sz="8" w:space="0" w:color="auto"/>
                  </w:tcBorders>
                  <w:vAlign w:val="center"/>
                  <w:hideMark/>
                </w:tcPr>
                <w:p w14:paraId="2B172AD2" w14:textId="77777777" w:rsidR="009C1F70" w:rsidRPr="009C1F70" w:rsidRDefault="009C1F70" w:rsidP="009C1F70">
                  <w:pPr>
                    <w:rPr>
                      <w:rFonts w:cs="Arial"/>
                      <w:b/>
                      <w:bCs/>
                      <w:color w:val="000000"/>
                      <w:sz w:val="20"/>
                      <w:lang w:eastAsia="en-GB"/>
                    </w:rPr>
                  </w:pPr>
                </w:p>
              </w:tc>
              <w:tc>
                <w:tcPr>
                  <w:tcW w:w="1306" w:type="dxa"/>
                  <w:tcBorders>
                    <w:top w:val="nil"/>
                    <w:left w:val="nil"/>
                    <w:bottom w:val="single" w:sz="8" w:space="0" w:color="auto"/>
                    <w:right w:val="single" w:sz="8" w:space="0" w:color="auto"/>
                  </w:tcBorders>
                  <w:shd w:val="clear" w:color="000000" w:fill="A6A6A6"/>
                  <w:hideMark/>
                </w:tcPr>
                <w:p w14:paraId="32D28DD6"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 </w:t>
                  </w:r>
                </w:p>
              </w:tc>
            </w:tr>
            <w:tr w:rsidR="009C1F70" w:rsidRPr="009C1F70" w14:paraId="1914427F"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2F0B78F8"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Barnet</w:t>
                  </w:r>
                </w:p>
              </w:tc>
              <w:tc>
                <w:tcPr>
                  <w:tcW w:w="1360" w:type="dxa"/>
                  <w:tcBorders>
                    <w:top w:val="nil"/>
                    <w:left w:val="nil"/>
                    <w:bottom w:val="single" w:sz="8" w:space="0" w:color="auto"/>
                    <w:right w:val="single" w:sz="8" w:space="0" w:color="auto"/>
                  </w:tcBorders>
                  <w:shd w:val="clear" w:color="auto" w:fill="auto"/>
                  <w:vAlign w:val="center"/>
                  <w:hideMark/>
                </w:tcPr>
                <w:p w14:paraId="662C9736"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1.198</w:t>
                  </w:r>
                </w:p>
              </w:tc>
              <w:tc>
                <w:tcPr>
                  <w:tcW w:w="1520" w:type="dxa"/>
                  <w:tcBorders>
                    <w:top w:val="nil"/>
                    <w:left w:val="nil"/>
                    <w:bottom w:val="single" w:sz="8" w:space="0" w:color="auto"/>
                    <w:right w:val="single" w:sz="8" w:space="0" w:color="auto"/>
                  </w:tcBorders>
                  <w:shd w:val="clear" w:color="auto" w:fill="auto"/>
                  <w:noWrap/>
                  <w:vAlign w:val="center"/>
                  <w:hideMark/>
                </w:tcPr>
                <w:p w14:paraId="57B1D9A4"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0.04</w:t>
                  </w:r>
                </w:p>
              </w:tc>
              <w:tc>
                <w:tcPr>
                  <w:tcW w:w="1306" w:type="dxa"/>
                  <w:tcBorders>
                    <w:top w:val="nil"/>
                    <w:left w:val="nil"/>
                    <w:bottom w:val="single" w:sz="8" w:space="0" w:color="auto"/>
                    <w:right w:val="single" w:sz="8" w:space="0" w:color="auto"/>
                  </w:tcBorders>
                  <w:shd w:val="clear" w:color="auto" w:fill="auto"/>
                  <w:noWrap/>
                  <w:vAlign w:val="center"/>
                  <w:hideMark/>
                </w:tcPr>
                <w:p w14:paraId="5CF75F6A"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1.16</w:t>
                  </w:r>
                </w:p>
              </w:tc>
            </w:tr>
            <w:tr w:rsidR="009C1F70" w:rsidRPr="009C1F70" w14:paraId="7BE4F077"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3947C593"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Brent</w:t>
                  </w:r>
                </w:p>
              </w:tc>
              <w:tc>
                <w:tcPr>
                  <w:tcW w:w="1360" w:type="dxa"/>
                  <w:tcBorders>
                    <w:top w:val="nil"/>
                    <w:left w:val="nil"/>
                    <w:bottom w:val="single" w:sz="8" w:space="0" w:color="auto"/>
                    <w:right w:val="single" w:sz="8" w:space="0" w:color="auto"/>
                  </w:tcBorders>
                  <w:shd w:val="clear" w:color="auto" w:fill="auto"/>
                  <w:vAlign w:val="center"/>
                  <w:hideMark/>
                </w:tcPr>
                <w:p w14:paraId="11735E2A"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1.065</w:t>
                  </w:r>
                </w:p>
              </w:tc>
              <w:tc>
                <w:tcPr>
                  <w:tcW w:w="1520" w:type="dxa"/>
                  <w:tcBorders>
                    <w:top w:val="nil"/>
                    <w:left w:val="nil"/>
                    <w:bottom w:val="single" w:sz="8" w:space="0" w:color="auto"/>
                    <w:right w:val="single" w:sz="8" w:space="0" w:color="auto"/>
                  </w:tcBorders>
                  <w:shd w:val="clear" w:color="auto" w:fill="auto"/>
                  <w:noWrap/>
                  <w:vAlign w:val="center"/>
                  <w:hideMark/>
                </w:tcPr>
                <w:p w14:paraId="11F028DC"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0.66</w:t>
                  </w:r>
                </w:p>
              </w:tc>
              <w:tc>
                <w:tcPr>
                  <w:tcW w:w="1306" w:type="dxa"/>
                  <w:tcBorders>
                    <w:top w:val="nil"/>
                    <w:left w:val="nil"/>
                    <w:bottom w:val="single" w:sz="8" w:space="0" w:color="auto"/>
                    <w:right w:val="single" w:sz="8" w:space="0" w:color="auto"/>
                  </w:tcBorders>
                  <w:shd w:val="clear" w:color="auto" w:fill="auto"/>
                  <w:noWrap/>
                  <w:vAlign w:val="center"/>
                  <w:hideMark/>
                </w:tcPr>
                <w:p w14:paraId="455C2ADB"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0.41</w:t>
                  </w:r>
                </w:p>
              </w:tc>
            </w:tr>
            <w:tr w:rsidR="009C1F70" w:rsidRPr="009C1F70" w14:paraId="0BA3ABCE"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18EA0E6D" w14:textId="4A057124" w:rsidR="009C1F70" w:rsidRPr="009C1F70" w:rsidRDefault="009C1F70" w:rsidP="009C1F70">
                  <w:pPr>
                    <w:rPr>
                      <w:rFonts w:cs="Arial"/>
                      <w:b/>
                      <w:bCs/>
                      <w:color w:val="000000"/>
                      <w:sz w:val="20"/>
                      <w:lang w:eastAsia="en-GB"/>
                    </w:rPr>
                  </w:pPr>
                  <w:r w:rsidRPr="009C1F70">
                    <w:rPr>
                      <w:rFonts w:cs="Arial"/>
                      <w:b/>
                      <w:bCs/>
                      <w:color w:val="000000"/>
                      <w:sz w:val="20"/>
                      <w:lang w:eastAsia="en-GB"/>
                    </w:rPr>
                    <w:t>Ealing</w:t>
                  </w:r>
                </w:p>
              </w:tc>
              <w:tc>
                <w:tcPr>
                  <w:tcW w:w="1360" w:type="dxa"/>
                  <w:tcBorders>
                    <w:top w:val="nil"/>
                    <w:left w:val="nil"/>
                    <w:bottom w:val="single" w:sz="8" w:space="0" w:color="auto"/>
                    <w:right w:val="single" w:sz="8" w:space="0" w:color="auto"/>
                  </w:tcBorders>
                  <w:shd w:val="clear" w:color="auto" w:fill="auto"/>
                  <w:vAlign w:val="center"/>
                  <w:hideMark/>
                </w:tcPr>
                <w:p w14:paraId="6638358D"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1.107</w:t>
                  </w:r>
                </w:p>
              </w:tc>
              <w:tc>
                <w:tcPr>
                  <w:tcW w:w="1520" w:type="dxa"/>
                  <w:tcBorders>
                    <w:top w:val="nil"/>
                    <w:left w:val="nil"/>
                    <w:bottom w:val="single" w:sz="8" w:space="0" w:color="auto"/>
                    <w:right w:val="single" w:sz="8" w:space="0" w:color="auto"/>
                  </w:tcBorders>
                  <w:shd w:val="clear" w:color="auto" w:fill="auto"/>
                  <w:noWrap/>
                  <w:vAlign w:val="center"/>
                  <w:hideMark/>
                </w:tcPr>
                <w:p w14:paraId="156B46C8"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0.81</w:t>
                  </w:r>
                </w:p>
              </w:tc>
              <w:tc>
                <w:tcPr>
                  <w:tcW w:w="1306" w:type="dxa"/>
                  <w:tcBorders>
                    <w:top w:val="nil"/>
                    <w:left w:val="nil"/>
                    <w:bottom w:val="single" w:sz="8" w:space="0" w:color="auto"/>
                    <w:right w:val="single" w:sz="8" w:space="0" w:color="auto"/>
                  </w:tcBorders>
                  <w:shd w:val="clear" w:color="auto" w:fill="auto"/>
                  <w:noWrap/>
                  <w:vAlign w:val="center"/>
                  <w:hideMark/>
                </w:tcPr>
                <w:p w14:paraId="4F8710FD"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0.31</w:t>
                  </w:r>
                </w:p>
              </w:tc>
            </w:tr>
            <w:tr w:rsidR="009C1F70" w:rsidRPr="009C1F70" w14:paraId="39098298" w14:textId="77777777" w:rsidTr="004A0352">
              <w:trPr>
                <w:cantSplit/>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2102B4E9"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Hammersmith &amp; Fulham</w:t>
                  </w:r>
                </w:p>
              </w:tc>
              <w:tc>
                <w:tcPr>
                  <w:tcW w:w="1360" w:type="dxa"/>
                  <w:tcBorders>
                    <w:top w:val="nil"/>
                    <w:left w:val="nil"/>
                    <w:bottom w:val="single" w:sz="8" w:space="0" w:color="auto"/>
                    <w:right w:val="single" w:sz="8" w:space="0" w:color="auto"/>
                  </w:tcBorders>
                  <w:shd w:val="clear" w:color="auto" w:fill="auto"/>
                  <w:vAlign w:val="center"/>
                  <w:hideMark/>
                </w:tcPr>
                <w:p w14:paraId="7FE31586"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0.624</w:t>
                  </w:r>
                </w:p>
              </w:tc>
              <w:tc>
                <w:tcPr>
                  <w:tcW w:w="1520" w:type="dxa"/>
                  <w:tcBorders>
                    <w:top w:val="nil"/>
                    <w:left w:val="nil"/>
                    <w:bottom w:val="single" w:sz="8" w:space="0" w:color="auto"/>
                    <w:right w:val="single" w:sz="8" w:space="0" w:color="auto"/>
                  </w:tcBorders>
                  <w:shd w:val="clear" w:color="auto" w:fill="auto"/>
                  <w:noWrap/>
                  <w:vAlign w:val="center"/>
                  <w:hideMark/>
                </w:tcPr>
                <w:p w14:paraId="45BDAF70"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0.46</w:t>
                  </w:r>
                </w:p>
              </w:tc>
              <w:tc>
                <w:tcPr>
                  <w:tcW w:w="1306" w:type="dxa"/>
                  <w:tcBorders>
                    <w:top w:val="nil"/>
                    <w:left w:val="nil"/>
                    <w:bottom w:val="single" w:sz="8" w:space="0" w:color="auto"/>
                    <w:right w:val="single" w:sz="8" w:space="0" w:color="auto"/>
                  </w:tcBorders>
                  <w:shd w:val="clear" w:color="auto" w:fill="auto"/>
                  <w:noWrap/>
                  <w:vAlign w:val="center"/>
                  <w:hideMark/>
                </w:tcPr>
                <w:p w14:paraId="19003BF9"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0.16</w:t>
                  </w:r>
                </w:p>
              </w:tc>
            </w:tr>
            <w:tr w:rsidR="00697696" w:rsidRPr="009C1F70" w14:paraId="04717FB7" w14:textId="77777777" w:rsidTr="00697696">
              <w:trPr>
                <w:cantSplit/>
                <w:trHeight w:val="294"/>
              </w:trPr>
              <w:tc>
                <w:tcPr>
                  <w:tcW w:w="2640" w:type="dxa"/>
                  <w:tcBorders>
                    <w:top w:val="nil"/>
                    <w:left w:val="single" w:sz="8" w:space="0" w:color="auto"/>
                    <w:bottom w:val="single" w:sz="8" w:space="0" w:color="auto"/>
                    <w:right w:val="single" w:sz="8" w:space="0" w:color="auto"/>
                  </w:tcBorders>
                  <w:shd w:val="clear" w:color="auto" w:fill="FFFF00"/>
                  <w:vAlign w:val="center"/>
                  <w:hideMark/>
                </w:tcPr>
                <w:p w14:paraId="3CE3D178"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Harrow</w:t>
                  </w:r>
                </w:p>
              </w:tc>
              <w:tc>
                <w:tcPr>
                  <w:tcW w:w="1360" w:type="dxa"/>
                  <w:tcBorders>
                    <w:top w:val="nil"/>
                    <w:left w:val="nil"/>
                    <w:bottom w:val="single" w:sz="8" w:space="0" w:color="auto"/>
                    <w:right w:val="single" w:sz="8" w:space="0" w:color="auto"/>
                  </w:tcBorders>
                  <w:shd w:val="clear" w:color="auto" w:fill="FFFF00"/>
                  <w:vAlign w:val="center"/>
                  <w:hideMark/>
                </w:tcPr>
                <w:p w14:paraId="0AE7B0AE"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0.75</w:t>
                  </w:r>
                </w:p>
              </w:tc>
              <w:tc>
                <w:tcPr>
                  <w:tcW w:w="1520" w:type="dxa"/>
                  <w:tcBorders>
                    <w:top w:val="nil"/>
                    <w:left w:val="nil"/>
                    <w:bottom w:val="single" w:sz="8" w:space="0" w:color="auto"/>
                    <w:right w:val="single" w:sz="8" w:space="0" w:color="auto"/>
                  </w:tcBorders>
                  <w:shd w:val="clear" w:color="auto" w:fill="FFFF00"/>
                  <w:noWrap/>
                  <w:vAlign w:val="center"/>
                  <w:hideMark/>
                </w:tcPr>
                <w:p w14:paraId="7571ACA5"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1.04</w:t>
                  </w:r>
                </w:p>
              </w:tc>
              <w:tc>
                <w:tcPr>
                  <w:tcW w:w="1306" w:type="dxa"/>
                  <w:tcBorders>
                    <w:top w:val="nil"/>
                    <w:left w:val="nil"/>
                    <w:bottom w:val="single" w:sz="8" w:space="0" w:color="auto"/>
                    <w:right w:val="single" w:sz="8" w:space="0" w:color="auto"/>
                  </w:tcBorders>
                  <w:shd w:val="clear" w:color="auto" w:fill="FFFF00"/>
                  <w:noWrap/>
                  <w:vAlign w:val="center"/>
                  <w:hideMark/>
                </w:tcPr>
                <w:p w14:paraId="24F920F1" w14:textId="77777777" w:rsidR="009C1F70" w:rsidRPr="009C1F70" w:rsidRDefault="009C1F70" w:rsidP="009C1F70">
                  <w:pPr>
                    <w:jc w:val="right"/>
                    <w:rPr>
                      <w:rFonts w:cs="Arial"/>
                      <w:color w:val="9C0006"/>
                      <w:sz w:val="20"/>
                      <w:lang w:eastAsia="en-GB"/>
                    </w:rPr>
                  </w:pPr>
                  <w:r w:rsidRPr="009C1F70">
                    <w:rPr>
                      <w:rFonts w:cs="Arial"/>
                      <w:color w:val="9C0006"/>
                      <w:sz w:val="20"/>
                      <w:lang w:eastAsia="en-GB"/>
                    </w:rPr>
                    <w:t>-0.29</w:t>
                  </w:r>
                </w:p>
              </w:tc>
            </w:tr>
            <w:tr w:rsidR="009C1F70" w:rsidRPr="009C1F70" w14:paraId="516FF626"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113D51DF"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Hillingdon</w:t>
                  </w:r>
                </w:p>
              </w:tc>
              <w:tc>
                <w:tcPr>
                  <w:tcW w:w="1360" w:type="dxa"/>
                  <w:tcBorders>
                    <w:top w:val="nil"/>
                    <w:left w:val="nil"/>
                    <w:bottom w:val="single" w:sz="8" w:space="0" w:color="auto"/>
                    <w:right w:val="single" w:sz="8" w:space="0" w:color="auto"/>
                  </w:tcBorders>
                  <w:shd w:val="clear" w:color="auto" w:fill="auto"/>
                  <w:vAlign w:val="center"/>
                  <w:hideMark/>
                </w:tcPr>
                <w:p w14:paraId="787A88F0"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0.843</w:t>
                  </w:r>
                </w:p>
              </w:tc>
              <w:tc>
                <w:tcPr>
                  <w:tcW w:w="1520" w:type="dxa"/>
                  <w:tcBorders>
                    <w:top w:val="nil"/>
                    <w:left w:val="nil"/>
                    <w:bottom w:val="single" w:sz="8" w:space="0" w:color="auto"/>
                    <w:right w:val="single" w:sz="8" w:space="0" w:color="auto"/>
                  </w:tcBorders>
                  <w:shd w:val="clear" w:color="auto" w:fill="auto"/>
                  <w:noWrap/>
                  <w:vAlign w:val="center"/>
                  <w:hideMark/>
                </w:tcPr>
                <w:p w14:paraId="0FE4507B"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0.16</w:t>
                  </w:r>
                </w:p>
              </w:tc>
              <w:tc>
                <w:tcPr>
                  <w:tcW w:w="1306" w:type="dxa"/>
                  <w:tcBorders>
                    <w:top w:val="nil"/>
                    <w:left w:val="nil"/>
                    <w:bottom w:val="single" w:sz="8" w:space="0" w:color="auto"/>
                    <w:right w:val="single" w:sz="8" w:space="0" w:color="auto"/>
                  </w:tcBorders>
                  <w:shd w:val="clear" w:color="auto" w:fill="auto"/>
                  <w:noWrap/>
                  <w:vAlign w:val="center"/>
                  <w:hideMark/>
                </w:tcPr>
                <w:p w14:paraId="44F04ABC"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0.68</w:t>
                  </w:r>
                </w:p>
              </w:tc>
            </w:tr>
            <w:tr w:rsidR="009C1F70" w:rsidRPr="009C1F70" w14:paraId="7DEC70E8"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4F42E034"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Hounslow</w:t>
                  </w:r>
                </w:p>
              </w:tc>
              <w:tc>
                <w:tcPr>
                  <w:tcW w:w="1360" w:type="dxa"/>
                  <w:tcBorders>
                    <w:top w:val="nil"/>
                    <w:left w:val="nil"/>
                    <w:bottom w:val="single" w:sz="8" w:space="0" w:color="auto"/>
                    <w:right w:val="single" w:sz="8" w:space="0" w:color="auto"/>
                  </w:tcBorders>
                  <w:shd w:val="clear" w:color="auto" w:fill="auto"/>
                  <w:vAlign w:val="center"/>
                  <w:hideMark/>
                </w:tcPr>
                <w:p w14:paraId="53A000E8"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0.822</w:t>
                  </w:r>
                </w:p>
              </w:tc>
              <w:tc>
                <w:tcPr>
                  <w:tcW w:w="1520" w:type="dxa"/>
                  <w:tcBorders>
                    <w:top w:val="nil"/>
                    <w:left w:val="nil"/>
                    <w:bottom w:val="single" w:sz="8" w:space="0" w:color="auto"/>
                    <w:right w:val="single" w:sz="8" w:space="0" w:color="auto"/>
                  </w:tcBorders>
                  <w:shd w:val="clear" w:color="auto" w:fill="auto"/>
                  <w:noWrap/>
                  <w:vAlign w:val="center"/>
                  <w:hideMark/>
                </w:tcPr>
                <w:p w14:paraId="3C4FB234" w14:textId="16DFD0D8" w:rsidR="009C1F70" w:rsidRPr="009C1F70" w:rsidRDefault="009C1F70" w:rsidP="009C1F70">
                  <w:pPr>
                    <w:jc w:val="right"/>
                    <w:rPr>
                      <w:rFonts w:cs="Arial"/>
                      <w:color w:val="000000"/>
                      <w:sz w:val="20"/>
                      <w:lang w:eastAsia="en-GB"/>
                    </w:rPr>
                  </w:pPr>
                  <w:r w:rsidRPr="009C1F70">
                    <w:rPr>
                      <w:rFonts w:cs="Arial"/>
                      <w:color w:val="000000"/>
                      <w:sz w:val="20"/>
                      <w:lang w:eastAsia="en-GB"/>
                    </w:rPr>
                    <w:t>1</w:t>
                  </w:r>
                  <w:r w:rsidR="00531F3E">
                    <w:rPr>
                      <w:rFonts w:cs="Arial"/>
                      <w:color w:val="000000"/>
                      <w:sz w:val="20"/>
                      <w:lang w:eastAsia="en-GB"/>
                    </w:rPr>
                    <w:t>.00</w:t>
                  </w:r>
                </w:p>
              </w:tc>
              <w:tc>
                <w:tcPr>
                  <w:tcW w:w="1306" w:type="dxa"/>
                  <w:tcBorders>
                    <w:top w:val="nil"/>
                    <w:left w:val="nil"/>
                    <w:bottom w:val="single" w:sz="8" w:space="0" w:color="auto"/>
                    <w:right w:val="single" w:sz="8" w:space="0" w:color="auto"/>
                  </w:tcBorders>
                  <w:shd w:val="clear" w:color="auto" w:fill="auto"/>
                  <w:noWrap/>
                  <w:vAlign w:val="center"/>
                  <w:hideMark/>
                </w:tcPr>
                <w:p w14:paraId="58743A46" w14:textId="77777777" w:rsidR="009C1F70" w:rsidRPr="009C1F70" w:rsidRDefault="009C1F70" w:rsidP="009C1F70">
                  <w:pPr>
                    <w:jc w:val="right"/>
                    <w:rPr>
                      <w:rFonts w:cs="Arial"/>
                      <w:color w:val="9C0006"/>
                      <w:sz w:val="20"/>
                      <w:lang w:eastAsia="en-GB"/>
                    </w:rPr>
                  </w:pPr>
                  <w:r w:rsidRPr="009C1F70">
                    <w:rPr>
                      <w:rFonts w:cs="Arial"/>
                      <w:color w:val="9C0006"/>
                      <w:sz w:val="20"/>
                      <w:lang w:eastAsia="en-GB"/>
                    </w:rPr>
                    <w:t>-0.18</w:t>
                  </w:r>
                </w:p>
              </w:tc>
            </w:tr>
            <w:tr w:rsidR="009C1F70" w:rsidRPr="009C1F70" w14:paraId="6773283B"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72B4808B"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Lambeth</w:t>
                  </w:r>
                </w:p>
              </w:tc>
              <w:tc>
                <w:tcPr>
                  <w:tcW w:w="1360" w:type="dxa"/>
                  <w:tcBorders>
                    <w:top w:val="nil"/>
                    <w:left w:val="nil"/>
                    <w:bottom w:val="single" w:sz="8" w:space="0" w:color="auto"/>
                    <w:right w:val="single" w:sz="8" w:space="0" w:color="auto"/>
                  </w:tcBorders>
                  <w:shd w:val="clear" w:color="auto" w:fill="auto"/>
                  <w:vAlign w:val="center"/>
                  <w:hideMark/>
                </w:tcPr>
                <w:p w14:paraId="11B455E7"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1.038</w:t>
                  </w:r>
                </w:p>
              </w:tc>
              <w:tc>
                <w:tcPr>
                  <w:tcW w:w="1520" w:type="dxa"/>
                  <w:tcBorders>
                    <w:top w:val="nil"/>
                    <w:left w:val="nil"/>
                    <w:bottom w:val="single" w:sz="8" w:space="0" w:color="auto"/>
                    <w:right w:val="single" w:sz="8" w:space="0" w:color="auto"/>
                  </w:tcBorders>
                  <w:shd w:val="clear" w:color="auto" w:fill="auto"/>
                  <w:noWrap/>
                  <w:vAlign w:val="center"/>
                  <w:hideMark/>
                </w:tcPr>
                <w:p w14:paraId="4E5026B4"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0.76</w:t>
                  </w:r>
                </w:p>
              </w:tc>
              <w:tc>
                <w:tcPr>
                  <w:tcW w:w="1306" w:type="dxa"/>
                  <w:tcBorders>
                    <w:top w:val="nil"/>
                    <w:left w:val="nil"/>
                    <w:bottom w:val="single" w:sz="8" w:space="0" w:color="auto"/>
                    <w:right w:val="single" w:sz="8" w:space="0" w:color="auto"/>
                  </w:tcBorders>
                  <w:shd w:val="clear" w:color="auto" w:fill="auto"/>
                  <w:noWrap/>
                  <w:vAlign w:val="center"/>
                  <w:hideMark/>
                </w:tcPr>
                <w:p w14:paraId="73E9B289"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0.28</w:t>
                  </w:r>
                </w:p>
              </w:tc>
            </w:tr>
            <w:tr w:rsidR="009C1F70" w:rsidRPr="009C1F70" w14:paraId="2EA4F235"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47DB4004"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Newham</w:t>
                  </w:r>
                </w:p>
              </w:tc>
              <w:tc>
                <w:tcPr>
                  <w:tcW w:w="1360" w:type="dxa"/>
                  <w:tcBorders>
                    <w:top w:val="nil"/>
                    <w:left w:val="nil"/>
                    <w:bottom w:val="single" w:sz="8" w:space="0" w:color="auto"/>
                    <w:right w:val="single" w:sz="8" w:space="0" w:color="auto"/>
                  </w:tcBorders>
                  <w:shd w:val="clear" w:color="auto" w:fill="auto"/>
                  <w:vAlign w:val="center"/>
                  <w:hideMark/>
                </w:tcPr>
                <w:p w14:paraId="4133B876"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1.151</w:t>
                  </w:r>
                </w:p>
              </w:tc>
              <w:tc>
                <w:tcPr>
                  <w:tcW w:w="1520" w:type="dxa"/>
                  <w:tcBorders>
                    <w:top w:val="nil"/>
                    <w:left w:val="nil"/>
                    <w:bottom w:val="single" w:sz="8" w:space="0" w:color="auto"/>
                    <w:right w:val="single" w:sz="8" w:space="0" w:color="auto"/>
                  </w:tcBorders>
                  <w:shd w:val="clear" w:color="auto" w:fill="auto"/>
                  <w:noWrap/>
                  <w:vAlign w:val="center"/>
                  <w:hideMark/>
                </w:tcPr>
                <w:p w14:paraId="78386CFE"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w:t>
                  </w:r>
                </w:p>
              </w:tc>
              <w:tc>
                <w:tcPr>
                  <w:tcW w:w="1306" w:type="dxa"/>
                  <w:tcBorders>
                    <w:top w:val="nil"/>
                    <w:left w:val="nil"/>
                    <w:bottom w:val="single" w:sz="8" w:space="0" w:color="auto"/>
                    <w:right w:val="single" w:sz="8" w:space="0" w:color="auto"/>
                  </w:tcBorders>
                  <w:shd w:val="clear" w:color="auto" w:fill="auto"/>
                  <w:noWrap/>
                  <w:vAlign w:val="center"/>
                  <w:hideMark/>
                </w:tcPr>
                <w:p w14:paraId="27BA3C38"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1.151</w:t>
                  </w:r>
                </w:p>
              </w:tc>
            </w:tr>
            <w:tr w:rsidR="009C1F70" w:rsidRPr="009C1F70" w14:paraId="1ABF4475" w14:textId="77777777" w:rsidTr="004A0352">
              <w:trPr>
                <w:cantSplit/>
                <w:trHeight w:val="25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08ECA822"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Kensington &amp; Chelsea</w:t>
                  </w:r>
                </w:p>
              </w:tc>
              <w:tc>
                <w:tcPr>
                  <w:tcW w:w="1360" w:type="dxa"/>
                  <w:tcBorders>
                    <w:top w:val="nil"/>
                    <w:left w:val="nil"/>
                    <w:bottom w:val="single" w:sz="8" w:space="0" w:color="auto"/>
                    <w:right w:val="single" w:sz="8" w:space="0" w:color="auto"/>
                  </w:tcBorders>
                  <w:shd w:val="clear" w:color="auto" w:fill="auto"/>
                  <w:vAlign w:val="center"/>
                  <w:hideMark/>
                </w:tcPr>
                <w:p w14:paraId="79FAE1C3"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0.604</w:t>
                  </w:r>
                </w:p>
              </w:tc>
              <w:tc>
                <w:tcPr>
                  <w:tcW w:w="1520" w:type="dxa"/>
                  <w:tcBorders>
                    <w:top w:val="nil"/>
                    <w:left w:val="nil"/>
                    <w:bottom w:val="single" w:sz="8" w:space="0" w:color="auto"/>
                    <w:right w:val="single" w:sz="8" w:space="0" w:color="auto"/>
                  </w:tcBorders>
                  <w:shd w:val="clear" w:color="auto" w:fill="auto"/>
                  <w:noWrap/>
                  <w:vAlign w:val="center"/>
                  <w:hideMark/>
                </w:tcPr>
                <w:p w14:paraId="28B3E5A2"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0.24</w:t>
                  </w:r>
                </w:p>
              </w:tc>
              <w:tc>
                <w:tcPr>
                  <w:tcW w:w="1306" w:type="dxa"/>
                  <w:tcBorders>
                    <w:top w:val="nil"/>
                    <w:left w:val="nil"/>
                    <w:bottom w:val="single" w:sz="8" w:space="0" w:color="auto"/>
                    <w:right w:val="single" w:sz="8" w:space="0" w:color="auto"/>
                  </w:tcBorders>
                  <w:shd w:val="clear" w:color="auto" w:fill="auto"/>
                  <w:noWrap/>
                  <w:vAlign w:val="center"/>
                  <w:hideMark/>
                </w:tcPr>
                <w:p w14:paraId="187D51FE"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0.36</w:t>
                  </w:r>
                </w:p>
              </w:tc>
            </w:tr>
            <w:tr w:rsidR="009C1F70" w:rsidRPr="009C1F70" w14:paraId="4BB7D326"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36B20569"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 xml:space="preserve">Richmond </w:t>
                  </w:r>
                </w:p>
              </w:tc>
              <w:tc>
                <w:tcPr>
                  <w:tcW w:w="1360" w:type="dxa"/>
                  <w:tcBorders>
                    <w:top w:val="nil"/>
                    <w:left w:val="nil"/>
                    <w:bottom w:val="single" w:sz="8" w:space="0" w:color="auto"/>
                    <w:right w:val="single" w:sz="8" w:space="0" w:color="auto"/>
                  </w:tcBorders>
                  <w:shd w:val="clear" w:color="auto" w:fill="auto"/>
                  <w:vAlign w:val="center"/>
                  <w:hideMark/>
                </w:tcPr>
                <w:p w14:paraId="66865CDE"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0.595</w:t>
                  </w:r>
                </w:p>
              </w:tc>
              <w:tc>
                <w:tcPr>
                  <w:tcW w:w="1520" w:type="dxa"/>
                  <w:tcBorders>
                    <w:top w:val="nil"/>
                    <w:left w:val="nil"/>
                    <w:bottom w:val="single" w:sz="8" w:space="0" w:color="auto"/>
                    <w:right w:val="single" w:sz="8" w:space="0" w:color="auto"/>
                  </w:tcBorders>
                  <w:shd w:val="clear" w:color="auto" w:fill="auto"/>
                  <w:noWrap/>
                  <w:vAlign w:val="center"/>
                  <w:hideMark/>
                </w:tcPr>
                <w:p w14:paraId="4BA594AD"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w:t>
                  </w:r>
                </w:p>
              </w:tc>
              <w:tc>
                <w:tcPr>
                  <w:tcW w:w="1306" w:type="dxa"/>
                  <w:tcBorders>
                    <w:top w:val="nil"/>
                    <w:left w:val="nil"/>
                    <w:bottom w:val="single" w:sz="8" w:space="0" w:color="auto"/>
                    <w:right w:val="single" w:sz="8" w:space="0" w:color="auto"/>
                  </w:tcBorders>
                  <w:shd w:val="clear" w:color="auto" w:fill="auto"/>
                  <w:noWrap/>
                  <w:vAlign w:val="center"/>
                  <w:hideMark/>
                </w:tcPr>
                <w:p w14:paraId="2A459D7F"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0.595</w:t>
                  </w:r>
                </w:p>
              </w:tc>
            </w:tr>
            <w:tr w:rsidR="009C1F70" w:rsidRPr="009C1F70" w14:paraId="4814FA34"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662C339E"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Wandsworth</w:t>
                  </w:r>
                </w:p>
              </w:tc>
              <w:tc>
                <w:tcPr>
                  <w:tcW w:w="1360" w:type="dxa"/>
                  <w:tcBorders>
                    <w:top w:val="nil"/>
                    <w:left w:val="nil"/>
                    <w:bottom w:val="single" w:sz="8" w:space="0" w:color="auto"/>
                    <w:right w:val="single" w:sz="8" w:space="0" w:color="auto"/>
                  </w:tcBorders>
                  <w:shd w:val="clear" w:color="auto" w:fill="auto"/>
                  <w:vAlign w:val="center"/>
                  <w:hideMark/>
                </w:tcPr>
                <w:p w14:paraId="48C513EF"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0.99</w:t>
                  </w:r>
                </w:p>
              </w:tc>
              <w:tc>
                <w:tcPr>
                  <w:tcW w:w="1520" w:type="dxa"/>
                  <w:tcBorders>
                    <w:top w:val="nil"/>
                    <w:left w:val="nil"/>
                    <w:bottom w:val="single" w:sz="8" w:space="0" w:color="auto"/>
                    <w:right w:val="single" w:sz="8" w:space="0" w:color="auto"/>
                  </w:tcBorders>
                  <w:shd w:val="clear" w:color="auto" w:fill="auto"/>
                  <w:noWrap/>
                  <w:vAlign w:val="center"/>
                  <w:hideMark/>
                </w:tcPr>
                <w:p w14:paraId="4B9A8201"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w:t>
                  </w:r>
                </w:p>
              </w:tc>
              <w:tc>
                <w:tcPr>
                  <w:tcW w:w="1306" w:type="dxa"/>
                  <w:tcBorders>
                    <w:top w:val="nil"/>
                    <w:left w:val="nil"/>
                    <w:bottom w:val="single" w:sz="8" w:space="0" w:color="auto"/>
                    <w:right w:val="single" w:sz="8" w:space="0" w:color="auto"/>
                  </w:tcBorders>
                  <w:shd w:val="clear" w:color="auto" w:fill="auto"/>
                  <w:noWrap/>
                  <w:vAlign w:val="center"/>
                  <w:hideMark/>
                </w:tcPr>
                <w:p w14:paraId="017A3377" w14:textId="77777777" w:rsidR="009C1F70" w:rsidRPr="009C1F70" w:rsidRDefault="009C1F70" w:rsidP="009C1F70">
                  <w:pPr>
                    <w:jc w:val="right"/>
                    <w:rPr>
                      <w:rFonts w:cs="Arial"/>
                      <w:color w:val="000000"/>
                      <w:sz w:val="20"/>
                      <w:lang w:eastAsia="en-GB"/>
                    </w:rPr>
                  </w:pPr>
                  <w:r w:rsidRPr="009C1F70">
                    <w:rPr>
                      <w:rFonts w:cs="Arial"/>
                      <w:color w:val="000000"/>
                      <w:sz w:val="20"/>
                      <w:lang w:eastAsia="en-GB"/>
                    </w:rPr>
                    <w:t>0.99</w:t>
                  </w:r>
                </w:p>
              </w:tc>
            </w:tr>
            <w:tr w:rsidR="009C1F70" w:rsidRPr="009C1F70" w14:paraId="00615886" w14:textId="77777777" w:rsidTr="004A0352">
              <w:trPr>
                <w:cantSplit/>
                <w:trHeight w:val="294"/>
              </w:trPr>
              <w:tc>
                <w:tcPr>
                  <w:tcW w:w="2640" w:type="dxa"/>
                  <w:tcBorders>
                    <w:top w:val="nil"/>
                    <w:left w:val="single" w:sz="8" w:space="0" w:color="auto"/>
                    <w:bottom w:val="single" w:sz="8" w:space="0" w:color="auto"/>
                    <w:right w:val="single" w:sz="8" w:space="0" w:color="auto"/>
                  </w:tcBorders>
                  <w:shd w:val="clear" w:color="auto" w:fill="auto"/>
                  <w:noWrap/>
                  <w:vAlign w:val="center"/>
                  <w:hideMark/>
                </w:tcPr>
                <w:p w14:paraId="67CF698B" w14:textId="77777777" w:rsidR="009C1F70" w:rsidRPr="009C1F70" w:rsidRDefault="009C1F70" w:rsidP="009C1F70">
                  <w:pPr>
                    <w:rPr>
                      <w:rFonts w:cs="Arial"/>
                      <w:b/>
                      <w:bCs/>
                      <w:color w:val="000000"/>
                      <w:sz w:val="20"/>
                      <w:lang w:eastAsia="en-GB"/>
                    </w:rPr>
                  </w:pPr>
                  <w:r w:rsidRPr="009C1F70">
                    <w:rPr>
                      <w:rFonts w:cs="Arial"/>
                      <w:b/>
                      <w:bCs/>
                      <w:color w:val="000000"/>
                      <w:sz w:val="20"/>
                      <w:lang w:eastAsia="en-GB"/>
                    </w:rPr>
                    <w:t>Totals</w:t>
                  </w:r>
                </w:p>
              </w:tc>
              <w:tc>
                <w:tcPr>
                  <w:tcW w:w="1360" w:type="dxa"/>
                  <w:tcBorders>
                    <w:top w:val="nil"/>
                    <w:left w:val="nil"/>
                    <w:bottom w:val="single" w:sz="8" w:space="0" w:color="auto"/>
                    <w:right w:val="single" w:sz="8" w:space="0" w:color="auto"/>
                  </w:tcBorders>
                  <w:shd w:val="clear" w:color="auto" w:fill="auto"/>
                  <w:noWrap/>
                  <w:vAlign w:val="center"/>
                  <w:hideMark/>
                </w:tcPr>
                <w:p w14:paraId="1B10D7D5" w14:textId="77777777" w:rsidR="009C1F70" w:rsidRPr="009C1F70" w:rsidRDefault="009C1F70" w:rsidP="009C1F70">
                  <w:pPr>
                    <w:jc w:val="right"/>
                    <w:rPr>
                      <w:rFonts w:cs="Arial"/>
                      <w:b/>
                      <w:bCs/>
                      <w:color w:val="000000"/>
                      <w:sz w:val="20"/>
                      <w:lang w:eastAsia="en-GB"/>
                    </w:rPr>
                  </w:pPr>
                  <w:r w:rsidRPr="009C1F70">
                    <w:rPr>
                      <w:rFonts w:cs="Arial"/>
                      <w:b/>
                      <w:bCs/>
                      <w:color w:val="000000"/>
                      <w:sz w:val="20"/>
                      <w:lang w:eastAsia="en-GB"/>
                    </w:rPr>
                    <w:t>10.787</w:t>
                  </w:r>
                </w:p>
              </w:tc>
              <w:tc>
                <w:tcPr>
                  <w:tcW w:w="1520" w:type="dxa"/>
                  <w:tcBorders>
                    <w:top w:val="nil"/>
                    <w:left w:val="nil"/>
                    <w:bottom w:val="single" w:sz="8" w:space="0" w:color="auto"/>
                    <w:right w:val="single" w:sz="8" w:space="0" w:color="auto"/>
                  </w:tcBorders>
                  <w:shd w:val="clear" w:color="auto" w:fill="auto"/>
                  <w:noWrap/>
                  <w:vAlign w:val="center"/>
                  <w:hideMark/>
                </w:tcPr>
                <w:p w14:paraId="7034D427" w14:textId="77777777" w:rsidR="009C1F70" w:rsidRPr="009C1F70" w:rsidRDefault="009C1F70" w:rsidP="009C1F70">
                  <w:pPr>
                    <w:jc w:val="right"/>
                    <w:rPr>
                      <w:rFonts w:cs="Arial"/>
                      <w:b/>
                      <w:bCs/>
                      <w:color w:val="000000"/>
                      <w:sz w:val="20"/>
                      <w:lang w:eastAsia="en-GB"/>
                    </w:rPr>
                  </w:pPr>
                  <w:r w:rsidRPr="009C1F70">
                    <w:rPr>
                      <w:rFonts w:cs="Arial"/>
                      <w:b/>
                      <w:bCs/>
                      <w:color w:val="000000"/>
                      <w:sz w:val="20"/>
                      <w:lang w:eastAsia="en-GB"/>
                    </w:rPr>
                    <w:t>£5.16</w:t>
                  </w:r>
                </w:p>
              </w:tc>
              <w:tc>
                <w:tcPr>
                  <w:tcW w:w="1306" w:type="dxa"/>
                  <w:tcBorders>
                    <w:top w:val="nil"/>
                    <w:left w:val="nil"/>
                    <w:bottom w:val="single" w:sz="8" w:space="0" w:color="auto"/>
                    <w:right w:val="single" w:sz="8" w:space="0" w:color="auto"/>
                  </w:tcBorders>
                  <w:shd w:val="clear" w:color="auto" w:fill="auto"/>
                  <w:noWrap/>
                  <w:vAlign w:val="center"/>
                  <w:hideMark/>
                </w:tcPr>
                <w:p w14:paraId="35BBCAD7" w14:textId="77777777" w:rsidR="009C1F70" w:rsidRPr="009C1F70" w:rsidRDefault="009C1F70" w:rsidP="009C1F70">
                  <w:pPr>
                    <w:rPr>
                      <w:rFonts w:cs="Arial"/>
                      <w:color w:val="000000"/>
                      <w:sz w:val="20"/>
                      <w:lang w:eastAsia="en-GB"/>
                    </w:rPr>
                  </w:pPr>
                  <w:r w:rsidRPr="009C1F70">
                    <w:rPr>
                      <w:rFonts w:cs="Arial"/>
                      <w:color w:val="000000"/>
                      <w:sz w:val="20"/>
                      <w:lang w:eastAsia="en-GB"/>
                    </w:rPr>
                    <w:t> </w:t>
                  </w:r>
                </w:p>
              </w:tc>
            </w:tr>
          </w:tbl>
          <w:p w14:paraId="75239E6E" w14:textId="17F1BDE9" w:rsidR="009D33CC" w:rsidRPr="00E14213" w:rsidRDefault="009D33CC" w:rsidP="00C24A72">
            <w:pPr>
              <w:rPr>
                <w:rFonts w:cs="Arial"/>
                <w:color w:val="000000"/>
                <w:szCs w:val="24"/>
              </w:rPr>
            </w:pPr>
          </w:p>
        </w:tc>
        <w:tc>
          <w:tcPr>
            <w:tcW w:w="547" w:type="dxa"/>
            <w:noWrap/>
            <w:tcMar>
              <w:top w:w="0" w:type="dxa"/>
              <w:left w:w="108" w:type="dxa"/>
              <w:bottom w:w="0" w:type="dxa"/>
              <w:right w:w="108" w:type="dxa"/>
            </w:tcMar>
            <w:vAlign w:val="bottom"/>
          </w:tcPr>
          <w:p w14:paraId="7281E9E1" w14:textId="4FCFA8AB" w:rsidR="009D33CC" w:rsidRDefault="00BC6DBC" w:rsidP="00582DE3">
            <w:pPr>
              <w:rPr>
                <w:rFonts w:ascii="Calibri" w:hAnsi="Calibri" w:cs="Calibri"/>
                <w:color w:val="C55A11"/>
                <w:sz w:val="20"/>
              </w:rPr>
            </w:pPr>
            <w:r>
              <w:rPr>
                <w:rFonts w:ascii="Calibri" w:hAnsi="Calibri" w:cs="Calibri"/>
                <w:color w:val="C55A11"/>
                <w:sz w:val="20"/>
              </w:rPr>
              <w:lastRenderedPageBreak/>
              <w:t xml:space="preserve"> </w:t>
            </w:r>
          </w:p>
        </w:tc>
        <w:tc>
          <w:tcPr>
            <w:tcW w:w="889" w:type="dxa"/>
            <w:noWrap/>
            <w:tcMar>
              <w:top w:w="0" w:type="dxa"/>
              <w:left w:w="108" w:type="dxa"/>
              <w:bottom w:w="0" w:type="dxa"/>
              <w:right w:w="108" w:type="dxa"/>
            </w:tcMar>
            <w:vAlign w:val="bottom"/>
          </w:tcPr>
          <w:p w14:paraId="7CF649C1" w14:textId="77777777" w:rsidR="009D33CC" w:rsidRDefault="009D33CC" w:rsidP="00582DE3">
            <w:pPr>
              <w:rPr>
                <w:color w:val="C55A11"/>
                <w:sz w:val="20"/>
              </w:rPr>
            </w:pPr>
          </w:p>
        </w:tc>
      </w:tr>
    </w:tbl>
    <w:p w14:paraId="0EC8855F" w14:textId="1C496F09" w:rsidR="009D33CC" w:rsidRDefault="009D33CC" w:rsidP="0031076F">
      <w:pPr>
        <w:pStyle w:val="Default"/>
        <w:ind w:left="720" w:hanging="720"/>
        <w:rPr>
          <w:color w:val="auto"/>
        </w:rPr>
      </w:pPr>
    </w:p>
    <w:p w14:paraId="692863A2" w14:textId="497975BD" w:rsidR="0026324A" w:rsidRDefault="0078260B" w:rsidP="0026324A">
      <w:pPr>
        <w:ind w:left="720" w:hanging="720"/>
      </w:pPr>
      <w:r>
        <w:rPr>
          <w:bCs/>
          <w:szCs w:val="24"/>
        </w:rPr>
        <w:t>4</w:t>
      </w:r>
      <w:r w:rsidR="00285227">
        <w:rPr>
          <w:bCs/>
          <w:szCs w:val="24"/>
        </w:rPr>
        <w:t>.</w:t>
      </w:r>
      <w:r w:rsidR="00036FD1">
        <w:rPr>
          <w:bCs/>
          <w:szCs w:val="24"/>
        </w:rPr>
        <w:t>7</w:t>
      </w:r>
      <w:r>
        <w:rPr>
          <w:bCs/>
          <w:szCs w:val="24"/>
        </w:rPr>
        <w:tab/>
      </w:r>
      <w:r w:rsidR="00F15C3A">
        <w:rPr>
          <w:bCs/>
          <w:szCs w:val="24"/>
        </w:rPr>
        <w:t xml:space="preserve">Ealing have confirmed that </w:t>
      </w:r>
      <w:r w:rsidR="0026324A">
        <w:t>Warm Works have now signed their contract with the GSEEH/Energy Hub</w:t>
      </w:r>
      <w:r w:rsidR="00547813">
        <w:t xml:space="preserve"> and are wor</w:t>
      </w:r>
      <w:r w:rsidR="0026324A">
        <w:t xml:space="preserve">king on the call-off contract between Ealing and Warm Works. Further to that contract, </w:t>
      </w:r>
      <w:r w:rsidR="00EB40D8">
        <w:t>Ealing</w:t>
      </w:r>
      <w:r w:rsidR="0026324A">
        <w:t xml:space="preserve"> are engaged with Groundwork, </w:t>
      </w:r>
      <w:proofErr w:type="spellStart"/>
      <w:r w:rsidR="0026324A">
        <w:t>Gleeds</w:t>
      </w:r>
      <w:proofErr w:type="spellEnd"/>
      <w:r w:rsidR="0026324A">
        <w:t xml:space="preserve">, </w:t>
      </w:r>
      <w:proofErr w:type="spellStart"/>
      <w:r w:rsidR="0026324A">
        <w:t>Everwarm</w:t>
      </w:r>
      <w:proofErr w:type="spellEnd"/>
      <w:r w:rsidR="0026324A">
        <w:t xml:space="preserve">, etc to ensure that </w:t>
      </w:r>
      <w:proofErr w:type="gramStart"/>
      <w:r w:rsidR="0026324A">
        <w:t>all of</w:t>
      </w:r>
      <w:proofErr w:type="gramEnd"/>
      <w:r w:rsidR="0026324A">
        <w:t xml:space="preserve"> the referral and project management processes stay in place </w:t>
      </w:r>
      <w:r w:rsidR="00C54718">
        <w:t xml:space="preserve">from Phase 1 </w:t>
      </w:r>
      <w:r w:rsidR="0026324A">
        <w:t xml:space="preserve">and that </w:t>
      </w:r>
      <w:r w:rsidR="00C54718">
        <w:t xml:space="preserve">the Consortium </w:t>
      </w:r>
      <w:r w:rsidR="0026324A">
        <w:t>are able to continue to seamless</w:t>
      </w:r>
      <w:r w:rsidR="00B370B1">
        <w:t>ly</w:t>
      </w:r>
      <w:r w:rsidR="0026324A">
        <w:t xml:space="preserve"> deliver.</w:t>
      </w:r>
    </w:p>
    <w:p w14:paraId="58A4E20A" w14:textId="488084DB" w:rsidR="002916FF" w:rsidRDefault="002916FF" w:rsidP="0026324A">
      <w:pPr>
        <w:ind w:left="720" w:hanging="720"/>
      </w:pPr>
    </w:p>
    <w:p w14:paraId="05759CA1" w14:textId="77F61016" w:rsidR="002916FF" w:rsidRDefault="002916FF" w:rsidP="0026324A">
      <w:pPr>
        <w:ind w:left="720" w:hanging="720"/>
        <w:rPr>
          <w:rFonts w:ascii="Calibri" w:hAnsi="Calibri"/>
          <w:sz w:val="22"/>
        </w:rPr>
      </w:pPr>
      <w:r>
        <w:t>4.</w:t>
      </w:r>
      <w:r w:rsidR="00036FD1">
        <w:t>8</w:t>
      </w:r>
      <w:r>
        <w:tab/>
      </w:r>
      <w:r w:rsidR="00113B16">
        <w:t xml:space="preserve">Harrow </w:t>
      </w:r>
      <w:r w:rsidR="005B07E2">
        <w:t xml:space="preserve">will also sign </w:t>
      </w:r>
      <w:r w:rsidR="00C22170">
        <w:t>a M</w:t>
      </w:r>
      <w:r w:rsidR="00127C40">
        <w:t xml:space="preserve">emorandum of Understanding </w:t>
      </w:r>
      <w:proofErr w:type="gramStart"/>
      <w:r w:rsidR="00127C40">
        <w:t>similar to</w:t>
      </w:r>
      <w:proofErr w:type="gramEnd"/>
      <w:r w:rsidR="00127C40">
        <w:t xml:space="preserve"> that of Phase 1a.</w:t>
      </w:r>
      <w:r w:rsidR="00F24AFE">
        <w:t xml:space="preserve"> </w:t>
      </w:r>
    </w:p>
    <w:p w14:paraId="3AC43AA7" w14:textId="4D83275A" w:rsidR="0027199A" w:rsidRDefault="0027199A" w:rsidP="0026324A">
      <w:pPr>
        <w:ind w:left="720" w:hanging="720"/>
        <w:rPr>
          <w:bCs/>
          <w:szCs w:val="24"/>
        </w:rPr>
      </w:pPr>
    </w:p>
    <w:p w14:paraId="5C5AB8B5" w14:textId="3DA28A6E" w:rsidR="00D4783F" w:rsidRPr="008A50FE" w:rsidRDefault="0078260B" w:rsidP="0078260B">
      <w:pPr>
        <w:pStyle w:val="Default"/>
        <w:ind w:left="720" w:hanging="720"/>
        <w:rPr>
          <w:color w:val="auto"/>
        </w:rPr>
      </w:pPr>
      <w:r>
        <w:rPr>
          <w:color w:val="auto"/>
        </w:rPr>
        <w:t>4.</w:t>
      </w:r>
      <w:r w:rsidR="00036FD1">
        <w:rPr>
          <w:color w:val="auto"/>
        </w:rPr>
        <w:t>9</w:t>
      </w:r>
      <w:r>
        <w:rPr>
          <w:color w:val="auto"/>
        </w:rPr>
        <w:tab/>
      </w:r>
      <w:r w:rsidR="00D4783F" w:rsidRPr="008A50FE">
        <w:rPr>
          <w:color w:val="auto"/>
        </w:rPr>
        <w:t xml:space="preserve">Additionally, the </w:t>
      </w:r>
      <w:r w:rsidR="00BD2C9F">
        <w:rPr>
          <w:color w:val="auto"/>
        </w:rPr>
        <w:t>C</w:t>
      </w:r>
      <w:r w:rsidR="00D4783F" w:rsidRPr="008A50FE">
        <w:rPr>
          <w:color w:val="auto"/>
        </w:rPr>
        <w:t xml:space="preserve">onsortium will </w:t>
      </w:r>
      <w:r w:rsidR="0066087D" w:rsidRPr="008A50FE">
        <w:rPr>
          <w:color w:val="auto"/>
        </w:rPr>
        <w:t xml:space="preserve">endeavour to </w:t>
      </w:r>
      <w:r w:rsidR="00D4783F" w:rsidRPr="008A50FE">
        <w:rPr>
          <w:color w:val="auto"/>
        </w:rPr>
        <w:t>work with existing local fuel poverty programmes, Age</w:t>
      </w:r>
      <w:r w:rsidR="0066087D" w:rsidRPr="008A50FE">
        <w:rPr>
          <w:color w:val="auto"/>
        </w:rPr>
        <w:t xml:space="preserve"> </w:t>
      </w:r>
      <w:r w:rsidR="00D4783F" w:rsidRPr="008A50FE">
        <w:rPr>
          <w:color w:val="auto"/>
        </w:rPr>
        <w:t xml:space="preserve">UK, Dementia Concern, Council/NHS services working with vulnerable groups, and community groups to identify eligible residents in need of energy efficiency measures, including those who were unable to participate in previous schemes, such as the Energy Company Obligation (ECO). </w:t>
      </w:r>
    </w:p>
    <w:p w14:paraId="7FCA082B" w14:textId="77777777" w:rsidR="00986DBA" w:rsidRDefault="00986DBA" w:rsidP="00D4783F">
      <w:pPr>
        <w:pStyle w:val="Default"/>
        <w:rPr>
          <w:b/>
          <w:bCs/>
        </w:rPr>
      </w:pPr>
    </w:p>
    <w:p w14:paraId="63CDE0B3" w14:textId="1FA56DE9" w:rsidR="00DF7201" w:rsidRDefault="0078260B" w:rsidP="0078260B">
      <w:pPr>
        <w:pStyle w:val="Default"/>
        <w:ind w:left="720" w:hanging="720"/>
      </w:pPr>
      <w:r>
        <w:t>4.</w:t>
      </w:r>
      <w:r w:rsidR="00036FD1">
        <w:t>10</w:t>
      </w:r>
      <w:r>
        <w:tab/>
      </w:r>
      <w:proofErr w:type="spellStart"/>
      <w:r w:rsidR="00D4783F" w:rsidRPr="009D668B">
        <w:t>TrustMark</w:t>
      </w:r>
      <w:proofErr w:type="spellEnd"/>
      <w:r w:rsidR="00D4783F" w:rsidRPr="009D668B">
        <w:t xml:space="preserve">/MCS certified installers will be used across the scheme, with an updated EPC issued upon completion of works. Homes with an existing EPC will be prioritised to save time and money at the beginning of the project. </w:t>
      </w:r>
    </w:p>
    <w:p w14:paraId="5B2C63E4" w14:textId="77777777" w:rsidR="00DF7201" w:rsidRDefault="00DF7201" w:rsidP="00D4783F">
      <w:pPr>
        <w:pStyle w:val="Default"/>
      </w:pPr>
    </w:p>
    <w:p w14:paraId="2B0F6CE8" w14:textId="2A249AB7" w:rsidR="00D4783F" w:rsidRDefault="0078260B" w:rsidP="0078260B">
      <w:pPr>
        <w:pStyle w:val="Default"/>
        <w:ind w:left="720" w:hanging="720"/>
      </w:pPr>
      <w:r>
        <w:t>4.</w:t>
      </w:r>
      <w:r w:rsidR="00036FD1">
        <w:t>11</w:t>
      </w:r>
      <w:r>
        <w:tab/>
      </w:r>
      <w:r w:rsidR="00D4783F" w:rsidRPr="009D668B">
        <w:t xml:space="preserve">Those unable to benefit from </w:t>
      </w:r>
      <w:r w:rsidR="00D96550">
        <w:t xml:space="preserve">Phase </w:t>
      </w:r>
      <w:r w:rsidR="001F4D5D">
        <w:t xml:space="preserve">2 </w:t>
      </w:r>
      <w:r w:rsidR="00D4783F" w:rsidRPr="009D668B">
        <w:t xml:space="preserve">of the LAD will be assisted in applying for other programmes. </w:t>
      </w:r>
      <w:r w:rsidR="00BD2C9F">
        <w:t xml:space="preserve">These homes may </w:t>
      </w:r>
      <w:r w:rsidR="00EC37DE">
        <w:t xml:space="preserve">also </w:t>
      </w:r>
      <w:r w:rsidR="00BD2C9F">
        <w:t xml:space="preserve">become eligible under </w:t>
      </w:r>
      <w:r w:rsidR="009502F7">
        <w:t>the Consortium</w:t>
      </w:r>
      <w:r w:rsidR="00EC37DE">
        <w:t>’s Phase 3</w:t>
      </w:r>
      <w:r w:rsidR="004F4392">
        <w:t xml:space="preserve"> </w:t>
      </w:r>
      <w:r w:rsidR="00866727">
        <w:t>grant application</w:t>
      </w:r>
      <w:r w:rsidR="004F4392">
        <w:t>, should</w:t>
      </w:r>
      <w:r w:rsidR="00BD2C9F">
        <w:t xml:space="preserve"> it be successful.</w:t>
      </w:r>
    </w:p>
    <w:p w14:paraId="59502F7A" w14:textId="743A42B8" w:rsidR="00D84631" w:rsidRDefault="00D84631" w:rsidP="0078260B">
      <w:pPr>
        <w:pStyle w:val="Default"/>
        <w:ind w:left="720" w:hanging="720"/>
      </w:pPr>
    </w:p>
    <w:p w14:paraId="7A1E8028" w14:textId="77777777" w:rsidR="00D84631" w:rsidRDefault="00D84631" w:rsidP="0078260B">
      <w:pPr>
        <w:pStyle w:val="Default"/>
        <w:ind w:left="720" w:hanging="720"/>
      </w:pPr>
    </w:p>
    <w:p w14:paraId="5A5418A7" w14:textId="6742A17F" w:rsidR="002C01C8" w:rsidRDefault="002C01C8" w:rsidP="0078260B">
      <w:pPr>
        <w:pStyle w:val="Default"/>
        <w:ind w:left="720" w:hanging="720"/>
      </w:pPr>
    </w:p>
    <w:p w14:paraId="3036449A" w14:textId="53D76941" w:rsidR="00DF7201" w:rsidRPr="00AD53BC" w:rsidRDefault="00B32DE9" w:rsidP="00717B6A">
      <w:pPr>
        <w:pStyle w:val="Heading2"/>
        <w:ind w:left="720"/>
        <w:rPr>
          <w:rFonts w:ascii="Arial" w:hAnsi="Arial"/>
          <w:sz w:val="28"/>
          <w:szCs w:val="28"/>
        </w:rPr>
      </w:pPr>
      <w:r w:rsidRPr="00AD53BC">
        <w:rPr>
          <w:rFonts w:ascii="Arial" w:hAnsi="Arial"/>
          <w:sz w:val="28"/>
          <w:szCs w:val="28"/>
        </w:rPr>
        <w:lastRenderedPageBreak/>
        <w:t xml:space="preserve">Submission for </w:t>
      </w:r>
      <w:r w:rsidR="009371EC">
        <w:rPr>
          <w:rFonts w:ascii="Arial" w:hAnsi="Arial"/>
          <w:sz w:val="28"/>
          <w:szCs w:val="28"/>
        </w:rPr>
        <w:t>Phase 3</w:t>
      </w:r>
      <w:r w:rsidR="00882B91">
        <w:rPr>
          <w:rFonts w:ascii="Arial" w:hAnsi="Arial"/>
          <w:sz w:val="28"/>
          <w:szCs w:val="28"/>
        </w:rPr>
        <w:t xml:space="preserve"> GHG LAD</w:t>
      </w:r>
      <w:r w:rsidR="004E6317" w:rsidRPr="00AD53BC">
        <w:rPr>
          <w:rFonts w:ascii="Arial" w:hAnsi="Arial"/>
          <w:sz w:val="28"/>
          <w:szCs w:val="28"/>
        </w:rPr>
        <w:t xml:space="preserve"> for </w:t>
      </w:r>
      <w:r w:rsidRPr="00AD53BC">
        <w:rPr>
          <w:rFonts w:ascii="Arial" w:hAnsi="Arial"/>
          <w:sz w:val="28"/>
          <w:szCs w:val="28"/>
        </w:rPr>
        <w:t>additional gran</w:t>
      </w:r>
      <w:r w:rsidR="004E6317" w:rsidRPr="00AD53BC">
        <w:rPr>
          <w:rFonts w:ascii="Arial" w:hAnsi="Arial"/>
          <w:sz w:val="28"/>
          <w:szCs w:val="28"/>
        </w:rPr>
        <w:t>t</w:t>
      </w:r>
      <w:r w:rsidR="00717B6A">
        <w:rPr>
          <w:rFonts w:ascii="Arial" w:hAnsi="Arial"/>
          <w:sz w:val="28"/>
          <w:szCs w:val="28"/>
        </w:rPr>
        <w:t xml:space="preserve"> – awaiting response from BEIS</w:t>
      </w:r>
    </w:p>
    <w:p w14:paraId="45BA7D97" w14:textId="77777777" w:rsidR="00B32DE9" w:rsidRPr="00B32DE9" w:rsidRDefault="00B32DE9" w:rsidP="00B32DE9"/>
    <w:p w14:paraId="52CB1D30" w14:textId="5ED65C43" w:rsidR="0078260B" w:rsidRDefault="0078260B" w:rsidP="008A7F11">
      <w:pPr>
        <w:ind w:left="720" w:hanging="720"/>
      </w:pPr>
      <w:r>
        <w:t>4.</w:t>
      </w:r>
      <w:r w:rsidR="00036FD1">
        <w:t>12</w:t>
      </w:r>
      <w:r w:rsidR="009D788C">
        <w:tab/>
      </w:r>
      <w:r w:rsidR="00250A35" w:rsidRPr="008A7F11">
        <w:t xml:space="preserve">Harrow will continue </w:t>
      </w:r>
      <w:r w:rsidR="008A7F11" w:rsidRPr="008A7F11">
        <w:t>t</w:t>
      </w:r>
      <w:r w:rsidR="008A7F11" w:rsidRPr="008A7F11">
        <w:rPr>
          <w:color w:val="000000" w:themeColor="text1"/>
        </w:rPr>
        <w:t>o work in partnership with the West London</w:t>
      </w:r>
      <w:r w:rsidR="008A7F11">
        <w:rPr>
          <w:b/>
          <w:bCs/>
          <w:color w:val="000000" w:themeColor="text1"/>
        </w:rPr>
        <w:t xml:space="preserve"> </w:t>
      </w:r>
      <w:r w:rsidR="008A7F11" w:rsidRPr="00B119E7">
        <w:rPr>
          <w:color w:val="000000" w:themeColor="text1"/>
        </w:rPr>
        <w:t>Consortium</w:t>
      </w:r>
      <w:r w:rsidR="00B119E7">
        <w:rPr>
          <w:color w:val="000000" w:themeColor="text1"/>
        </w:rPr>
        <w:t xml:space="preserve"> for Phase 3 of the GHG LAD.  </w:t>
      </w:r>
      <w:r w:rsidR="00F24AFE">
        <w:rPr>
          <w:color w:val="000000" w:themeColor="text1"/>
        </w:rPr>
        <w:t xml:space="preserve">The Consortium </w:t>
      </w:r>
      <w:r w:rsidR="00BA1CB8">
        <w:rPr>
          <w:color w:val="000000" w:themeColor="text1"/>
        </w:rPr>
        <w:t xml:space="preserve">has now entered a bid of </w:t>
      </w:r>
      <w:r w:rsidR="0063668F">
        <w:t>£23,412,233 for LAD Phase 3 and the HUG (£13,075,000 and £7,283,464 in capital funding, respectively)</w:t>
      </w:r>
      <w:r w:rsidR="008667E3">
        <w:t>.</w:t>
      </w:r>
    </w:p>
    <w:p w14:paraId="0B21A8FA" w14:textId="255C2C3B" w:rsidR="00BE53E4" w:rsidRDefault="00BE53E4" w:rsidP="008A7F11">
      <w:pPr>
        <w:ind w:left="720" w:hanging="720"/>
      </w:pPr>
    </w:p>
    <w:p w14:paraId="5C1989C1" w14:textId="609E5FD6" w:rsidR="00BE53E4" w:rsidRDefault="00BE53E4" w:rsidP="008A7F11">
      <w:pPr>
        <w:ind w:left="720" w:hanging="720"/>
      </w:pPr>
      <w:r>
        <w:t>4.</w:t>
      </w:r>
      <w:r w:rsidR="00036FD1">
        <w:t>13</w:t>
      </w:r>
      <w:r>
        <w:tab/>
        <w:t>Harrow</w:t>
      </w:r>
      <w:r w:rsidR="00EF3FDC">
        <w:t>’s indicative funding under th</w:t>
      </w:r>
      <w:r w:rsidR="004514E1">
        <w:t>is</w:t>
      </w:r>
      <w:r w:rsidR="00EF3FDC">
        <w:t xml:space="preserve"> phase </w:t>
      </w:r>
      <w:r w:rsidR="008C70A3">
        <w:t xml:space="preserve">is </w:t>
      </w:r>
      <w:r w:rsidR="006F1EFB">
        <w:t>£</w:t>
      </w:r>
      <w:r w:rsidR="006F1EFB">
        <w:rPr>
          <w:color w:val="000000"/>
          <w:lang w:eastAsia="en-GB"/>
        </w:rPr>
        <w:t>1,246,847</w:t>
      </w:r>
      <w:r w:rsidR="000E5937">
        <w:rPr>
          <w:color w:val="000000"/>
          <w:lang w:eastAsia="en-GB"/>
        </w:rPr>
        <w:t xml:space="preserve">.  This is based on our fuel poverty figures of </w:t>
      </w:r>
      <w:r w:rsidR="00DC38CE" w:rsidRPr="00DC38CE">
        <w:rPr>
          <w:rFonts w:cs="Arial"/>
          <w:szCs w:val="24"/>
          <w:lang w:eastAsia="en-GB"/>
        </w:rPr>
        <w:t>13,014</w:t>
      </w:r>
      <w:r w:rsidR="00DC38CE">
        <w:rPr>
          <w:rFonts w:cs="Arial"/>
          <w:szCs w:val="24"/>
          <w:lang w:eastAsia="en-GB"/>
        </w:rPr>
        <w:t>.</w:t>
      </w:r>
    </w:p>
    <w:p w14:paraId="138D6D5A" w14:textId="33A8D443" w:rsidR="0027546F" w:rsidRDefault="0027546F" w:rsidP="008A7F11">
      <w:pPr>
        <w:ind w:left="720" w:hanging="720"/>
      </w:pPr>
    </w:p>
    <w:p w14:paraId="6EE3DB83" w14:textId="36CF8B5B" w:rsidR="0027546F" w:rsidRDefault="0027546F" w:rsidP="008A7F11">
      <w:pPr>
        <w:ind w:left="720" w:hanging="720"/>
      </w:pPr>
      <w:r>
        <w:t>4.</w:t>
      </w:r>
      <w:r w:rsidR="00036FD1">
        <w:t>14</w:t>
      </w:r>
      <w:r>
        <w:tab/>
      </w:r>
      <w:r w:rsidR="009B04EB">
        <w:t>Th</w:t>
      </w:r>
      <w:r w:rsidR="005A7468">
        <w:t xml:space="preserve">is bidding round </w:t>
      </w:r>
      <w:r w:rsidR="00D7201E">
        <w:t>encompasses 2</w:t>
      </w:r>
      <w:r w:rsidR="005A7468">
        <w:t xml:space="preserve"> existing schemes:</w:t>
      </w:r>
    </w:p>
    <w:p w14:paraId="151DD915" w14:textId="351DAB1C" w:rsidR="005A7468" w:rsidRDefault="005A7468" w:rsidP="008A7F11">
      <w:pPr>
        <w:ind w:left="720" w:hanging="720"/>
      </w:pPr>
    </w:p>
    <w:p w14:paraId="2C02BDF8" w14:textId="1F6FBF67" w:rsidR="00D7201E" w:rsidRPr="00D7201E" w:rsidRDefault="00D7201E" w:rsidP="00D7201E">
      <w:pPr>
        <w:pStyle w:val="ListParagraph"/>
        <w:numPr>
          <w:ilvl w:val="1"/>
          <w:numId w:val="33"/>
        </w:numPr>
        <w:shd w:val="clear" w:color="auto" w:fill="FFFFFF"/>
        <w:spacing w:after="75"/>
        <w:rPr>
          <w:rFonts w:cs="Arial"/>
          <w:color w:val="0B0C0C"/>
          <w:szCs w:val="24"/>
          <w:lang w:eastAsia="en-GB"/>
        </w:rPr>
      </w:pPr>
      <w:r w:rsidRPr="00D7201E">
        <w:rPr>
          <w:rFonts w:cs="Arial"/>
          <w:color w:val="0B0C0C"/>
          <w:szCs w:val="24"/>
        </w:rPr>
        <w:t>Local Authority Delivery Phase 3 (LAD3): a third phase of the Local Authority Delivery scheme with £200 million available. LAD3 has a refined scope to support low-income households heated by mains gas</w:t>
      </w:r>
    </w:p>
    <w:p w14:paraId="003EA36C" w14:textId="77777777" w:rsidR="00D7201E" w:rsidRPr="00D7201E" w:rsidRDefault="00D7201E" w:rsidP="00D7201E">
      <w:pPr>
        <w:pStyle w:val="ListParagraph"/>
        <w:numPr>
          <w:ilvl w:val="1"/>
          <w:numId w:val="33"/>
        </w:numPr>
        <w:shd w:val="clear" w:color="auto" w:fill="FFFFFF"/>
        <w:spacing w:after="75"/>
        <w:rPr>
          <w:rFonts w:cs="Arial"/>
          <w:color w:val="0B0C0C"/>
          <w:szCs w:val="24"/>
        </w:rPr>
      </w:pPr>
      <w:r w:rsidRPr="00D7201E">
        <w:rPr>
          <w:rFonts w:cs="Arial"/>
          <w:color w:val="0B0C0C"/>
          <w:szCs w:val="24"/>
        </w:rPr>
        <w:t>Home Upgrade Grant Phase 1 (HUG1): £150 million for low-income households with homes off-gas grid through the HUG scheme.</w:t>
      </w:r>
    </w:p>
    <w:p w14:paraId="7E100EEB" w14:textId="5321EA24" w:rsidR="00D7201E" w:rsidRDefault="00D7201E" w:rsidP="00D7201E">
      <w:pPr>
        <w:pStyle w:val="NormalWeb"/>
        <w:shd w:val="clear" w:color="auto" w:fill="FFFFFF"/>
        <w:spacing w:before="225" w:beforeAutospacing="0" w:after="225"/>
        <w:ind w:left="720" w:hanging="720"/>
        <w:rPr>
          <w:rFonts w:ascii="Arial" w:eastAsiaTheme="minorHAnsi" w:hAnsi="Arial" w:cs="Arial"/>
          <w:color w:val="0B0C0C"/>
        </w:rPr>
      </w:pPr>
      <w:r>
        <w:rPr>
          <w:rFonts w:ascii="Arial" w:hAnsi="Arial" w:cs="Arial"/>
          <w:color w:val="0B0C0C"/>
        </w:rPr>
        <w:t>4.</w:t>
      </w:r>
      <w:r w:rsidR="00036FD1">
        <w:rPr>
          <w:rFonts w:ascii="Arial" w:hAnsi="Arial" w:cs="Arial"/>
          <w:color w:val="0B0C0C"/>
        </w:rPr>
        <w:t>15</w:t>
      </w:r>
      <w:r>
        <w:rPr>
          <w:rFonts w:ascii="Arial" w:hAnsi="Arial" w:cs="Arial"/>
          <w:color w:val="0B0C0C"/>
        </w:rPr>
        <w:tab/>
        <w:t xml:space="preserve">The focus will be retained on upgrading the worst insulated owner occupier and private rented homes with energy efficiency installations and low carbon heating. Projects that upgrade homes with an Energy Performance Certificate (EPC) rating of E, F or G will be </w:t>
      </w:r>
      <w:proofErr w:type="spellStart"/>
      <w:r>
        <w:rPr>
          <w:rFonts w:ascii="Arial" w:hAnsi="Arial" w:cs="Arial"/>
          <w:color w:val="0B0C0C"/>
        </w:rPr>
        <w:t>prioritised</w:t>
      </w:r>
      <w:proofErr w:type="spellEnd"/>
      <w:r>
        <w:rPr>
          <w:rFonts w:ascii="Arial" w:hAnsi="Arial" w:cs="Arial"/>
          <w:color w:val="0B0C0C"/>
        </w:rPr>
        <w:t>. Upgrades to properties with an EPC rating of D will be allowed but will be limited.</w:t>
      </w:r>
    </w:p>
    <w:p w14:paraId="49193F6A" w14:textId="69B43C9F" w:rsidR="00D7201E" w:rsidRDefault="00D7201E" w:rsidP="00D7201E">
      <w:pPr>
        <w:pStyle w:val="NormalWeb"/>
        <w:shd w:val="clear" w:color="auto" w:fill="FFFFFF"/>
        <w:spacing w:before="225" w:beforeAutospacing="0" w:after="225"/>
        <w:ind w:left="720" w:hanging="720"/>
        <w:rPr>
          <w:rFonts w:ascii="Arial" w:hAnsi="Arial" w:cs="Arial"/>
          <w:color w:val="0B0C0C"/>
        </w:rPr>
      </w:pPr>
      <w:r>
        <w:rPr>
          <w:rFonts w:ascii="Arial" w:hAnsi="Arial" w:cs="Arial"/>
          <w:color w:val="0B0C0C"/>
        </w:rPr>
        <w:t>4.</w:t>
      </w:r>
      <w:r w:rsidR="00036FD1">
        <w:rPr>
          <w:rFonts w:ascii="Arial" w:hAnsi="Arial" w:cs="Arial"/>
          <w:color w:val="0B0C0C"/>
        </w:rPr>
        <w:t>16</w:t>
      </w:r>
      <w:r>
        <w:rPr>
          <w:rFonts w:ascii="Arial" w:hAnsi="Arial" w:cs="Arial"/>
          <w:color w:val="0B0C0C"/>
        </w:rPr>
        <w:tab/>
        <w:t>Low-income households who own their home can get upgrades fully funded within the relevant cost caps and do not have to contribute. Where a household is low-income and renting their home, the landlord must contribute at least a third of the total cost of upgrading the property within the relevant cost caps.</w:t>
      </w:r>
    </w:p>
    <w:p w14:paraId="42868451" w14:textId="3F7DD0A3" w:rsidR="00A6447C" w:rsidRDefault="00020A19" w:rsidP="00D7201E">
      <w:pPr>
        <w:pStyle w:val="NormalWeb"/>
        <w:shd w:val="clear" w:color="auto" w:fill="FFFFFF"/>
        <w:spacing w:before="225" w:beforeAutospacing="0" w:after="225"/>
        <w:ind w:left="720" w:hanging="720"/>
        <w:rPr>
          <w:rFonts w:ascii="Arial" w:hAnsi="Arial" w:cs="Arial"/>
          <w:color w:val="0B0C0C"/>
        </w:rPr>
      </w:pPr>
      <w:r>
        <w:rPr>
          <w:rFonts w:ascii="Arial" w:hAnsi="Arial" w:cs="Arial"/>
          <w:color w:val="0B0C0C"/>
        </w:rPr>
        <w:t>4.17</w:t>
      </w:r>
      <w:r>
        <w:rPr>
          <w:rFonts w:ascii="Arial" w:hAnsi="Arial" w:cs="Arial"/>
          <w:color w:val="0B0C0C"/>
        </w:rPr>
        <w:tab/>
      </w:r>
      <w:r w:rsidR="00B42009">
        <w:rPr>
          <w:rFonts w:ascii="Arial" w:hAnsi="Arial" w:cs="Arial"/>
          <w:color w:val="0B0C0C"/>
        </w:rPr>
        <w:t xml:space="preserve">There are </w:t>
      </w:r>
      <w:r>
        <w:rPr>
          <w:rFonts w:ascii="Arial" w:hAnsi="Arial" w:cs="Arial"/>
          <w:color w:val="0B0C0C"/>
        </w:rPr>
        <w:t xml:space="preserve">some social housing within the </w:t>
      </w:r>
      <w:r w:rsidR="005C66E4">
        <w:rPr>
          <w:rFonts w:ascii="Arial" w:hAnsi="Arial" w:cs="Arial"/>
          <w:color w:val="0B0C0C"/>
        </w:rPr>
        <w:t xml:space="preserve">overall bidding </w:t>
      </w:r>
      <w:r w:rsidR="00B42009">
        <w:rPr>
          <w:rFonts w:ascii="Arial" w:hAnsi="Arial" w:cs="Arial"/>
          <w:color w:val="0B0C0C"/>
        </w:rPr>
        <w:t>numbers</w:t>
      </w:r>
      <w:r w:rsidR="008F4970">
        <w:rPr>
          <w:rFonts w:ascii="Arial" w:hAnsi="Arial" w:cs="Arial"/>
          <w:color w:val="0B0C0C"/>
        </w:rPr>
        <w:t xml:space="preserve"> targeting off gas homes</w:t>
      </w:r>
      <w:r w:rsidR="00B42009">
        <w:rPr>
          <w:rFonts w:ascii="Arial" w:hAnsi="Arial" w:cs="Arial"/>
          <w:color w:val="0B0C0C"/>
        </w:rPr>
        <w:t xml:space="preserve">.  However, </w:t>
      </w:r>
      <w:r w:rsidR="006E35E4">
        <w:rPr>
          <w:rFonts w:ascii="Arial" w:hAnsi="Arial" w:cs="Arial"/>
          <w:color w:val="0B0C0C"/>
        </w:rPr>
        <w:t>including any potential</w:t>
      </w:r>
      <w:r w:rsidR="0015542C">
        <w:rPr>
          <w:rFonts w:ascii="Arial" w:hAnsi="Arial" w:cs="Arial"/>
          <w:color w:val="0B0C0C"/>
        </w:rPr>
        <w:t xml:space="preserve"> Housing Associations thi</w:t>
      </w:r>
      <w:r w:rsidR="00545766">
        <w:rPr>
          <w:rFonts w:ascii="Arial" w:hAnsi="Arial" w:cs="Arial"/>
          <w:color w:val="0B0C0C"/>
        </w:rPr>
        <w:t>s</w:t>
      </w:r>
      <w:r w:rsidR="0015542C">
        <w:rPr>
          <w:rFonts w:ascii="Arial" w:hAnsi="Arial" w:cs="Arial"/>
          <w:color w:val="0B0C0C"/>
        </w:rPr>
        <w:t xml:space="preserve"> makes up </w:t>
      </w:r>
      <w:r w:rsidR="00806FE2">
        <w:rPr>
          <w:rFonts w:ascii="Arial" w:hAnsi="Arial" w:cs="Arial"/>
          <w:color w:val="0B0C0C"/>
        </w:rPr>
        <w:t xml:space="preserve">just </w:t>
      </w:r>
      <w:r w:rsidR="0015542C">
        <w:rPr>
          <w:rFonts w:ascii="Arial" w:hAnsi="Arial" w:cs="Arial"/>
          <w:color w:val="0B0C0C"/>
        </w:rPr>
        <w:t xml:space="preserve">less than 10% of </w:t>
      </w:r>
      <w:r w:rsidR="00806FE2">
        <w:rPr>
          <w:rFonts w:ascii="Arial" w:hAnsi="Arial" w:cs="Arial"/>
          <w:color w:val="0B0C0C"/>
        </w:rPr>
        <w:t xml:space="preserve">the overall </w:t>
      </w:r>
      <w:r w:rsidR="0015542C">
        <w:rPr>
          <w:rFonts w:ascii="Arial" w:hAnsi="Arial" w:cs="Arial"/>
          <w:color w:val="0B0C0C"/>
        </w:rPr>
        <w:t>number</w:t>
      </w:r>
      <w:r w:rsidR="00806FE2">
        <w:rPr>
          <w:rFonts w:ascii="Arial" w:hAnsi="Arial" w:cs="Arial"/>
          <w:color w:val="0B0C0C"/>
        </w:rPr>
        <w:t xml:space="preserve"> of eligible properties.</w:t>
      </w:r>
      <w:r w:rsidR="005071A7">
        <w:rPr>
          <w:rFonts w:ascii="Arial" w:hAnsi="Arial" w:cs="Arial"/>
          <w:color w:val="0B0C0C"/>
        </w:rPr>
        <w:t xml:space="preserve"> </w:t>
      </w:r>
      <w:r w:rsidR="00587EFA">
        <w:rPr>
          <w:rFonts w:ascii="Arial" w:hAnsi="Arial" w:cs="Arial"/>
          <w:color w:val="0B0C0C"/>
        </w:rPr>
        <w:t>Again,</w:t>
      </w:r>
      <w:r w:rsidR="00045E51">
        <w:rPr>
          <w:rFonts w:ascii="Arial" w:hAnsi="Arial" w:cs="Arial"/>
          <w:color w:val="0B0C0C"/>
        </w:rPr>
        <w:t xml:space="preserve"> we are unlikely to require more that £75,000 </w:t>
      </w:r>
      <w:r w:rsidR="00A208FA">
        <w:rPr>
          <w:rFonts w:ascii="Arial" w:hAnsi="Arial" w:cs="Arial"/>
          <w:color w:val="0B0C0C"/>
        </w:rPr>
        <w:t xml:space="preserve">from HRA resources should any council properties be </w:t>
      </w:r>
      <w:r w:rsidR="00714F31">
        <w:rPr>
          <w:rFonts w:ascii="Arial" w:hAnsi="Arial" w:cs="Arial"/>
          <w:color w:val="0B0C0C"/>
        </w:rPr>
        <w:t>improved via this route.</w:t>
      </w:r>
    </w:p>
    <w:p w14:paraId="1DAA37FF" w14:textId="47FC5BAA" w:rsidR="00BE53E4" w:rsidRDefault="00DC38CE" w:rsidP="00D7201E">
      <w:pPr>
        <w:pStyle w:val="NormalWeb"/>
        <w:shd w:val="clear" w:color="auto" w:fill="FFFFFF"/>
        <w:spacing w:before="225" w:beforeAutospacing="0" w:after="225"/>
        <w:ind w:left="720" w:hanging="720"/>
        <w:rPr>
          <w:rFonts w:ascii="Arial" w:hAnsi="Arial" w:cs="Arial"/>
          <w:color w:val="0B0C0C"/>
        </w:rPr>
      </w:pPr>
      <w:r>
        <w:rPr>
          <w:rFonts w:ascii="Arial" w:hAnsi="Arial" w:cs="Arial"/>
          <w:color w:val="0B0C0C"/>
        </w:rPr>
        <w:t>4.</w:t>
      </w:r>
      <w:r w:rsidR="00020A19">
        <w:rPr>
          <w:rFonts w:ascii="Arial" w:hAnsi="Arial" w:cs="Arial"/>
          <w:color w:val="0B0C0C"/>
        </w:rPr>
        <w:t>18</w:t>
      </w:r>
      <w:r>
        <w:rPr>
          <w:rFonts w:ascii="Arial" w:hAnsi="Arial" w:cs="Arial"/>
          <w:color w:val="0B0C0C"/>
        </w:rPr>
        <w:tab/>
        <w:t xml:space="preserve">We expect to hear </w:t>
      </w:r>
      <w:r w:rsidR="007F42B2">
        <w:rPr>
          <w:rFonts w:ascii="Arial" w:hAnsi="Arial" w:cs="Arial"/>
          <w:color w:val="0B0C0C"/>
        </w:rPr>
        <w:t>news of the bid towards the end of October</w:t>
      </w:r>
      <w:r w:rsidR="00D55A33">
        <w:rPr>
          <w:rFonts w:ascii="Arial" w:hAnsi="Arial" w:cs="Arial"/>
          <w:color w:val="0B0C0C"/>
        </w:rPr>
        <w:t>/beginning of November</w:t>
      </w:r>
      <w:r w:rsidR="007F42B2">
        <w:rPr>
          <w:rFonts w:ascii="Arial" w:hAnsi="Arial" w:cs="Arial"/>
          <w:color w:val="0B0C0C"/>
        </w:rPr>
        <w:t xml:space="preserve"> </w:t>
      </w:r>
      <w:r w:rsidR="00D55A33">
        <w:rPr>
          <w:rFonts w:ascii="Arial" w:hAnsi="Arial" w:cs="Arial"/>
          <w:color w:val="0B0C0C"/>
        </w:rPr>
        <w:t>if the consortium is successful with this bid.</w:t>
      </w:r>
    </w:p>
    <w:p w14:paraId="555D1469" w14:textId="0C291D0C" w:rsidR="00333FAA" w:rsidRPr="00AD53BC" w:rsidRDefault="00E52D42" w:rsidP="00333FAA">
      <w:pPr>
        <w:pStyle w:val="Heading2"/>
        <w:rPr>
          <w:rFonts w:ascii="Arial" w:hAnsi="Arial"/>
          <w:sz w:val="28"/>
          <w:szCs w:val="28"/>
        </w:rPr>
      </w:pPr>
      <w:r w:rsidRPr="00AD53BC">
        <w:rPr>
          <w:rFonts w:ascii="Arial" w:hAnsi="Arial"/>
          <w:sz w:val="28"/>
          <w:szCs w:val="28"/>
        </w:rPr>
        <w:t>5.</w:t>
      </w:r>
      <w:r w:rsidR="00866727">
        <w:rPr>
          <w:rFonts w:ascii="Arial" w:hAnsi="Arial"/>
          <w:sz w:val="28"/>
          <w:szCs w:val="28"/>
        </w:rPr>
        <w:tab/>
      </w:r>
      <w:r w:rsidR="00333FAA" w:rsidRPr="00AD53BC">
        <w:rPr>
          <w:rFonts w:ascii="Arial" w:hAnsi="Arial"/>
          <w:sz w:val="28"/>
          <w:szCs w:val="28"/>
        </w:rPr>
        <w:t>Why a change is needed</w:t>
      </w:r>
    </w:p>
    <w:p w14:paraId="00040C6C" w14:textId="77777777" w:rsidR="00C30F29" w:rsidRPr="00AD53BC" w:rsidRDefault="00C30F29" w:rsidP="00C30F29"/>
    <w:p w14:paraId="3441B76A" w14:textId="6DCD9095" w:rsidR="00965792" w:rsidRDefault="0078260B" w:rsidP="0078260B">
      <w:pPr>
        <w:spacing w:after="120"/>
        <w:ind w:left="720" w:hanging="720"/>
        <w:jc w:val="both"/>
        <w:rPr>
          <w:bCs/>
          <w:szCs w:val="24"/>
        </w:rPr>
      </w:pPr>
      <w:r>
        <w:rPr>
          <w:bCs/>
          <w:szCs w:val="24"/>
        </w:rPr>
        <w:t>5.1</w:t>
      </w:r>
      <w:r>
        <w:rPr>
          <w:bCs/>
          <w:szCs w:val="24"/>
        </w:rPr>
        <w:tab/>
      </w:r>
      <w:r w:rsidR="00965792">
        <w:rPr>
          <w:bCs/>
          <w:szCs w:val="24"/>
        </w:rPr>
        <w:t xml:space="preserve">Many local authorities including Harrow Council have declared Climate Emergencies, aiming to achieve carbon neutrality by 2030. </w:t>
      </w:r>
    </w:p>
    <w:p w14:paraId="58262177" w14:textId="77777777" w:rsidR="00965792" w:rsidRDefault="00965792" w:rsidP="00587907">
      <w:pPr>
        <w:spacing w:after="120"/>
        <w:ind w:left="720"/>
        <w:jc w:val="both"/>
        <w:rPr>
          <w:bCs/>
          <w:szCs w:val="24"/>
        </w:rPr>
      </w:pPr>
      <w:r>
        <w:rPr>
          <w:bCs/>
          <w:szCs w:val="24"/>
        </w:rPr>
        <w:t xml:space="preserve">Whilst the declaration is only a first step in acknowledging the problem, assistance to create robust and deliverable action plans are starting to emerge, including the introduction of Green recovery schemes and </w:t>
      </w:r>
      <w:r>
        <w:rPr>
          <w:bCs/>
          <w:szCs w:val="24"/>
        </w:rPr>
        <w:lastRenderedPageBreak/>
        <w:t xml:space="preserve">funding opportunities such as the Green Homes Grant from central government. </w:t>
      </w:r>
    </w:p>
    <w:p w14:paraId="49DEC8C4" w14:textId="2C21172C" w:rsidR="00965792" w:rsidRDefault="0078260B" w:rsidP="0078260B">
      <w:pPr>
        <w:spacing w:after="120"/>
        <w:ind w:left="720" w:hanging="720"/>
        <w:jc w:val="both"/>
        <w:rPr>
          <w:bCs/>
          <w:szCs w:val="24"/>
        </w:rPr>
      </w:pPr>
      <w:r>
        <w:rPr>
          <w:bCs/>
          <w:szCs w:val="24"/>
        </w:rPr>
        <w:t>5.2</w:t>
      </w:r>
      <w:r>
        <w:rPr>
          <w:bCs/>
          <w:szCs w:val="24"/>
        </w:rPr>
        <w:tab/>
      </w:r>
      <w:r w:rsidR="00965792">
        <w:rPr>
          <w:bCs/>
          <w:szCs w:val="24"/>
        </w:rPr>
        <w:t xml:space="preserve">The SCATTER local authority emissions calculation tool, developed </w:t>
      </w:r>
      <w:r w:rsidR="00965792" w:rsidRPr="00CE08FC">
        <w:rPr>
          <w:bCs/>
          <w:szCs w:val="24"/>
        </w:rPr>
        <w:t>by Manchester and Nottingham in collaboration with research partners</w:t>
      </w:r>
      <w:r w:rsidR="00965792">
        <w:rPr>
          <w:bCs/>
          <w:szCs w:val="24"/>
        </w:rPr>
        <w:t xml:space="preserve">, estimates that in the London Borough of Harrow, around 58% of our direct emissions, 262,000 tonnes of CO2 equivalent per annum, are attributable to residential properties, primarily from their gas heating requirements. Energy retrofit measures such as improved building fabric insulation can significantly reduce these existing gas heating requirements. In addition, in many cases it is possible to replace the gas heating system completely via heat pump technology, which uses electricity to extract and intensify heat from the environment in order to provide space heating and hot water to the home.  </w:t>
      </w:r>
    </w:p>
    <w:p w14:paraId="71795D21" w14:textId="0C82CC87" w:rsidR="00965792" w:rsidRDefault="0078260B" w:rsidP="0078260B">
      <w:pPr>
        <w:spacing w:after="120"/>
        <w:ind w:left="720" w:hanging="720"/>
        <w:jc w:val="both"/>
        <w:rPr>
          <w:bCs/>
          <w:szCs w:val="24"/>
        </w:rPr>
      </w:pPr>
      <w:r>
        <w:rPr>
          <w:bCs/>
          <w:szCs w:val="24"/>
        </w:rPr>
        <w:t>5.3</w:t>
      </w:r>
      <w:r>
        <w:rPr>
          <w:bCs/>
          <w:szCs w:val="24"/>
        </w:rPr>
        <w:tab/>
      </w:r>
      <w:r w:rsidR="00965792">
        <w:rPr>
          <w:bCs/>
          <w:szCs w:val="24"/>
        </w:rPr>
        <w:t xml:space="preserve">This funding opportunity will enable a reduction in greenhouse gas emissions from some of the worst performing (in energy and emissions terms) housing stock in the </w:t>
      </w:r>
      <w:r w:rsidR="00AD53BC">
        <w:rPr>
          <w:bCs/>
          <w:szCs w:val="24"/>
        </w:rPr>
        <w:t>Borough</w:t>
      </w:r>
      <w:r w:rsidR="00965792">
        <w:rPr>
          <w:bCs/>
          <w:szCs w:val="24"/>
        </w:rPr>
        <w:t xml:space="preserve">, whilst also helping to reduce energy costs for lower income residents. </w:t>
      </w:r>
    </w:p>
    <w:p w14:paraId="4D54A8CA" w14:textId="77777777" w:rsidR="0068335E" w:rsidRPr="00AD53BC" w:rsidRDefault="0068335E" w:rsidP="00333FAA">
      <w:pPr>
        <w:rPr>
          <w:rFonts w:cs="Arial"/>
          <w:sz w:val="28"/>
          <w:szCs w:val="28"/>
        </w:rPr>
      </w:pPr>
    </w:p>
    <w:p w14:paraId="5E3D76B0" w14:textId="469AA2B8" w:rsidR="00333FAA" w:rsidRPr="00AD53BC" w:rsidRDefault="00E52D42" w:rsidP="00333FAA">
      <w:pPr>
        <w:pStyle w:val="Heading2"/>
        <w:rPr>
          <w:rFonts w:ascii="Arial" w:hAnsi="Arial"/>
          <w:sz w:val="28"/>
          <w:szCs w:val="28"/>
        </w:rPr>
      </w:pPr>
      <w:r w:rsidRPr="00AD53BC">
        <w:rPr>
          <w:rFonts w:ascii="Arial" w:hAnsi="Arial"/>
          <w:sz w:val="28"/>
          <w:szCs w:val="28"/>
        </w:rPr>
        <w:t>6.</w:t>
      </w:r>
      <w:r w:rsidR="00866727">
        <w:rPr>
          <w:rFonts w:ascii="Arial" w:hAnsi="Arial"/>
          <w:sz w:val="28"/>
          <w:szCs w:val="28"/>
        </w:rPr>
        <w:tab/>
      </w:r>
      <w:r w:rsidR="00333FAA" w:rsidRPr="00AD53BC">
        <w:rPr>
          <w:rFonts w:ascii="Arial" w:hAnsi="Arial"/>
          <w:sz w:val="28"/>
          <w:szCs w:val="28"/>
        </w:rPr>
        <w:t>Implications of the Recommendation</w:t>
      </w:r>
    </w:p>
    <w:p w14:paraId="29E8F450" w14:textId="77777777" w:rsidR="00B53B3E" w:rsidRDefault="00B53B3E" w:rsidP="00B53B3E">
      <w:pPr>
        <w:rPr>
          <w:bCs/>
          <w:szCs w:val="24"/>
        </w:rPr>
      </w:pPr>
    </w:p>
    <w:p w14:paraId="77C4C42B" w14:textId="34F65B68" w:rsidR="00BF14A3" w:rsidRDefault="0078260B" w:rsidP="0078260B">
      <w:pPr>
        <w:ind w:left="720" w:hanging="720"/>
        <w:rPr>
          <w:bCs/>
          <w:szCs w:val="24"/>
        </w:rPr>
      </w:pPr>
      <w:r>
        <w:rPr>
          <w:bCs/>
          <w:szCs w:val="24"/>
        </w:rPr>
        <w:t>6.1</w:t>
      </w:r>
      <w:r>
        <w:rPr>
          <w:bCs/>
          <w:szCs w:val="24"/>
        </w:rPr>
        <w:tab/>
      </w:r>
      <w:r w:rsidR="00B53B3E" w:rsidRPr="00B53B3E">
        <w:rPr>
          <w:bCs/>
          <w:szCs w:val="24"/>
        </w:rPr>
        <w:t xml:space="preserve">The recommendation path allows </w:t>
      </w:r>
      <w:r w:rsidR="005D009F">
        <w:rPr>
          <w:bCs/>
          <w:szCs w:val="24"/>
        </w:rPr>
        <w:t>Harrow</w:t>
      </w:r>
      <w:r w:rsidR="00B53B3E" w:rsidRPr="00B53B3E">
        <w:rPr>
          <w:bCs/>
          <w:szCs w:val="24"/>
        </w:rPr>
        <w:t xml:space="preserve"> to </w:t>
      </w:r>
      <w:r w:rsidR="00B53B3E">
        <w:rPr>
          <w:bCs/>
          <w:szCs w:val="24"/>
        </w:rPr>
        <w:t xml:space="preserve">work </w:t>
      </w:r>
      <w:r w:rsidR="005D009F">
        <w:rPr>
          <w:bCs/>
          <w:szCs w:val="24"/>
        </w:rPr>
        <w:t>towards the Council</w:t>
      </w:r>
      <w:r w:rsidR="00587907">
        <w:rPr>
          <w:bCs/>
          <w:szCs w:val="24"/>
        </w:rPr>
        <w:t>’</w:t>
      </w:r>
      <w:r w:rsidR="005D009F">
        <w:rPr>
          <w:bCs/>
          <w:szCs w:val="24"/>
        </w:rPr>
        <w:t>s, London and Government targets for carbon reduction within the Borough.  It also provides access</w:t>
      </w:r>
      <w:r w:rsidR="00717B6A">
        <w:rPr>
          <w:bCs/>
          <w:szCs w:val="24"/>
        </w:rPr>
        <w:t xml:space="preserve"> via the lead authority</w:t>
      </w:r>
      <w:r w:rsidR="005D009F">
        <w:rPr>
          <w:bCs/>
          <w:szCs w:val="24"/>
        </w:rPr>
        <w:t xml:space="preserve"> to much needed funding </w:t>
      </w:r>
      <w:r w:rsidR="007D413D">
        <w:rPr>
          <w:bCs/>
          <w:szCs w:val="24"/>
        </w:rPr>
        <w:t>i</w:t>
      </w:r>
      <w:r w:rsidR="005D009F">
        <w:rPr>
          <w:bCs/>
          <w:szCs w:val="24"/>
        </w:rPr>
        <w:t>f we are to achieve these targets.</w:t>
      </w:r>
    </w:p>
    <w:p w14:paraId="5ECE428F" w14:textId="29DC5319" w:rsidR="00DF7201" w:rsidRDefault="00DF7201" w:rsidP="00B53B3E">
      <w:pPr>
        <w:rPr>
          <w:bCs/>
          <w:szCs w:val="24"/>
        </w:rPr>
      </w:pPr>
    </w:p>
    <w:p w14:paraId="046CB62F" w14:textId="0D535623" w:rsidR="00DF7201" w:rsidRDefault="0078260B" w:rsidP="0078260B">
      <w:pPr>
        <w:ind w:left="720" w:hanging="720"/>
        <w:rPr>
          <w:bCs/>
          <w:szCs w:val="24"/>
        </w:rPr>
      </w:pPr>
      <w:r>
        <w:rPr>
          <w:bCs/>
          <w:szCs w:val="24"/>
        </w:rPr>
        <w:t>6.2</w:t>
      </w:r>
      <w:r>
        <w:rPr>
          <w:bCs/>
          <w:szCs w:val="24"/>
        </w:rPr>
        <w:tab/>
      </w:r>
      <w:r w:rsidR="00DF7201">
        <w:rPr>
          <w:bCs/>
          <w:szCs w:val="24"/>
        </w:rPr>
        <w:t xml:space="preserve">The recommendation will also ensure a warmer more thermally efficient home for our </w:t>
      </w:r>
      <w:r w:rsidR="00BB4238">
        <w:rPr>
          <w:bCs/>
          <w:szCs w:val="24"/>
        </w:rPr>
        <w:t xml:space="preserve">residents and an improvement in EPC rating thus reducing carbon emissions and making savings for our residents. </w:t>
      </w:r>
    </w:p>
    <w:p w14:paraId="1C445133" w14:textId="03EBC575" w:rsidR="00BB4238" w:rsidRDefault="00BB4238" w:rsidP="00B53B3E">
      <w:pPr>
        <w:rPr>
          <w:bCs/>
          <w:szCs w:val="24"/>
        </w:rPr>
      </w:pPr>
    </w:p>
    <w:p w14:paraId="0702C843" w14:textId="2A90F7E2" w:rsidR="00BB4238" w:rsidRPr="00B53B3E" w:rsidRDefault="0078260B" w:rsidP="0078260B">
      <w:pPr>
        <w:ind w:left="720" w:hanging="720"/>
        <w:rPr>
          <w:bCs/>
          <w:szCs w:val="24"/>
        </w:rPr>
      </w:pPr>
      <w:r>
        <w:rPr>
          <w:bCs/>
          <w:szCs w:val="24"/>
        </w:rPr>
        <w:t>6.3</w:t>
      </w:r>
      <w:r>
        <w:rPr>
          <w:bCs/>
          <w:szCs w:val="24"/>
        </w:rPr>
        <w:tab/>
      </w:r>
      <w:r w:rsidR="00BB4238" w:rsidRPr="00F8002D">
        <w:rPr>
          <w:bCs/>
          <w:szCs w:val="24"/>
        </w:rPr>
        <w:t>With the addition of</w:t>
      </w:r>
      <w:r w:rsidR="00F14CC6" w:rsidRPr="00F8002D">
        <w:rPr>
          <w:bCs/>
          <w:szCs w:val="24"/>
        </w:rPr>
        <w:t xml:space="preserve"> grant funding for</w:t>
      </w:r>
      <w:r w:rsidR="00BB4238" w:rsidRPr="00F8002D">
        <w:rPr>
          <w:bCs/>
          <w:szCs w:val="24"/>
        </w:rPr>
        <w:t xml:space="preserve"> the second </w:t>
      </w:r>
      <w:r w:rsidR="001F1564" w:rsidRPr="00F8002D">
        <w:rPr>
          <w:bCs/>
          <w:szCs w:val="24"/>
        </w:rPr>
        <w:t>phase</w:t>
      </w:r>
      <w:r w:rsidR="00F14CC6" w:rsidRPr="00F8002D">
        <w:rPr>
          <w:bCs/>
          <w:szCs w:val="24"/>
        </w:rPr>
        <w:t xml:space="preserve"> </w:t>
      </w:r>
      <w:r w:rsidR="00BB4238" w:rsidRPr="00F8002D">
        <w:rPr>
          <w:bCs/>
          <w:szCs w:val="24"/>
        </w:rPr>
        <w:t xml:space="preserve">we will be able to identify more homes that we are able to </w:t>
      </w:r>
      <w:r w:rsidR="00F14CC6" w:rsidRPr="00F8002D">
        <w:rPr>
          <w:bCs/>
          <w:szCs w:val="24"/>
        </w:rPr>
        <w:t xml:space="preserve">install relevant measures to, </w:t>
      </w:r>
      <w:r w:rsidR="00824375" w:rsidRPr="00F8002D">
        <w:rPr>
          <w:bCs/>
          <w:szCs w:val="24"/>
        </w:rPr>
        <w:t>in order to provide thermal efficien</w:t>
      </w:r>
      <w:r w:rsidR="00F14CC6" w:rsidRPr="00F8002D">
        <w:rPr>
          <w:bCs/>
          <w:szCs w:val="24"/>
        </w:rPr>
        <w:t xml:space="preserve">cy </w:t>
      </w:r>
      <w:r w:rsidR="00824375" w:rsidRPr="00F8002D">
        <w:rPr>
          <w:bCs/>
          <w:szCs w:val="24"/>
        </w:rPr>
        <w:t>whilst reducing carbon emissions.</w:t>
      </w:r>
    </w:p>
    <w:p w14:paraId="17F57191" w14:textId="022117B6" w:rsidR="00A4383F" w:rsidRDefault="00A4383F" w:rsidP="00A4383F">
      <w:pPr>
        <w:tabs>
          <w:tab w:val="left" w:pos="426"/>
        </w:tabs>
        <w:rPr>
          <w:b/>
          <w:szCs w:val="24"/>
        </w:rPr>
      </w:pPr>
    </w:p>
    <w:p w14:paraId="4A9741EF" w14:textId="7EF8143D" w:rsidR="005D009F" w:rsidRDefault="0078260B" w:rsidP="0078260B">
      <w:pPr>
        <w:tabs>
          <w:tab w:val="left" w:pos="426"/>
        </w:tabs>
        <w:ind w:left="720" w:hanging="720"/>
        <w:rPr>
          <w:bCs/>
          <w:szCs w:val="24"/>
        </w:rPr>
      </w:pPr>
      <w:r>
        <w:rPr>
          <w:bCs/>
          <w:szCs w:val="24"/>
        </w:rPr>
        <w:t>6.4</w:t>
      </w:r>
      <w:r>
        <w:rPr>
          <w:bCs/>
          <w:szCs w:val="24"/>
        </w:rPr>
        <w:tab/>
      </w:r>
      <w:r>
        <w:rPr>
          <w:bCs/>
          <w:szCs w:val="24"/>
        </w:rPr>
        <w:tab/>
      </w:r>
      <w:r w:rsidR="005D009F" w:rsidRPr="00104019">
        <w:rPr>
          <w:bCs/>
          <w:szCs w:val="24"/>
        </w:rPr>
        <w:t xml:space="preserve">This recommendation </w:t>
      </w:r>
      <w:r w:rsidR="00670A0B" w:rsidRPr="00104019">
        <w:rPr>
          <w:bCs/>
          <w:szCs w:val="24"/>
        </w:rPr>
        <w:t>will also provide much needed assistance to the local Harrow economy with opportunities for jobs and training as part of the Green Recovery.</w:t>
      </w:r>
    </w:p>
    <w:p w14:paraId="518F727D" w14:textId="77777777" w:rsidR="0078260B" w:rsidRPr="00104019" w:rsidRDefault="0078260B" w:rsidP="005E7682">
      <w:pPr>
        <w:tabs>
          <w:tab w:val="left" w:pos="426"/>
        </w:tabs>
        <w:rPr>
          <w:bCs/>
          <w:szCs w:val="24"/>
        </w:rPr>
      </w:pPr>
    </w:p>
    <w:p w14:paraId="08C949B9" w14:textId="0727F357" w:rsidR="00C84DA2" w:rsidRPr="00F06E4E" w:rsidRDefault="00E52D42" w:rsidP="00C84DA2">
      <w:pPr>
        <w:pStyle w:val="Heading4"/>
        <w:rPr>
          <w:color w:val="0000FF"/>
          <w:szCs w:val="24"/>
        </w:rPr>
      </w:pPr>
      <w:r>
        <w:rPr>
          <w:szCs w:val="24"/>
        </w:rPr>
        <w:t>7.</w:t>
      </w:r>
      <w:r w:rsidR="0078260B">
        <w:rPr>
          <w:szCs w:val="24"/>
        </w:rPr>
        <w:tab/>
      </w:r>
      <w:r w:rsidR="00333FAA" w:rsidRPr="00C84DA2">
        <w:rPr>
          <w:szCs w:val="24"/>
        </w:rPr>
        <w:t xml:space="preserve">Resources, costs </w:t>
      </w:r>
      <w:r w:rsidR="00C84DA2" w:rsidRPr="00C84DA2">
        <w:rPr>
          <w:szCs w:val="24"/>
        </w:rPr>
        <w:t xml:space="preserve">/Staffing/workforce </w:t>
      </w:r>
    </w:p>
    <w:p w14:paraId="23EE69B5" w14:textId="77777777" w:rsidR="00986DBA" w:rsidRDefault="00986DBA" w:rsidP="00986DBA">
      <w:pPr>
        <w:pStyle w:val="BodyTextIndent3"/>
        <w:ind w:left="0"/>
        <w:rPr>
          <w:rFonts w:cs="Arial"/>
          <w:color w:val="000000"/>
          <w:sz w:val="24"/>
          <w:szCs w:val="24"/>
          <w:lang w:eastAsia="en-GB"/>
        </w:rPr>
      </w:pPr>
    </w:p>
    <w:p w14:paraId="3EBE9BD3" w14:textId="7F243DCC" w:rsidR="00A879DE" w:rsidRPr="001540EE" w:rsidRDefault="0078260B" w:rsidP="0078260B">
      <w:pPr>
        <w:pStyle w:val="BodyTextIndent3"/>
        <w:ind w:left="720" w:hanging="720"/>
        <w:rPr>
          <w:rFonts w:cs="Arial"/>
          <w:color w:val="000000"/>
          <w:sz w:val="24"/>
          <w:szCs w:val="24"/>
          <w:lang w:eastAsia="en-GB"/>
        </w:rPr>
      </w:pPr>
      <w:r>
        <w:rPr>
          <w:rFonts w:cs="Arial"/>
          <w:color w:val="000000"/>
          <w:sz w:val="24"/>
          <w:szCs w:val="24"/>
          <w:lang w:eastAsia="en-GB"/>
        </w:rPr>
        <w:t>7.1</w:t>
      </w:r>
      <w:r>
        <w:rPr>
          <w:rFonts w:cs="Arial"/>
          <w:color w:val="000000"/>
          <w:sz w:val="24"/>
          <w:szCs w:val="24"/>
          <w:lang w:eastAsia="en-GB"/>
        </w:rPr>
        <w:tab/>
      </w:r>
      <w:r w:rsidR="00A4383F" w:rsidRPr="0044414A">
        <w:rPr>
          <w:rFonts w:cs="Arial"/>
          <w:color w:val="000000"/>
          <w:sz w:val="24"/>
          <w:szCs w:val="24"/>
          <w:lang w:eastAsia="en-GB"/>
        </w:rPr>
        <w:t>A</w:t>
      </w:r>
      <w:r w:rsidR="009D75B9">
        <w:rPr>
          <w:rFonts w:cs="Arial"/>
          <w:color w:val="000000"/>
          <w:sz w:val="24"/>
          <w:szCs w:val="24"/>
          <w:lang w:eastAsia="en-GB"/>
        </w:rPr>
        <w:t>n Ealing</w:t>
      </w:r>
      <w:r w:rsidR="00A4383F" w:rsidRPr="0044414A">
        <w:rPr>
          <w:rFonts w:cs="Arial"/>
          <w:color w:val="000000"/>
          <w:sz w:val="24"/>
          <w:szCs w:val="24"/>
          <w:lang w:eastAsia="en-GB"/>
        </w:rPr>
        <w:t xml:space="preserve"> </w:t>
      </w:r>
      <w:r w:rsidR="0044414A">
        <w:rPr>
          <w:rFonts w:cs="Arial"/>
          <w:color w:val="000000"/>
          <w:sz w:val="24"/>
          <w:szCs w:val="24"/>
          <w:lang w:eastAsia="en-GB"/>
        </w:rPr>
        <w:t>P</w:t>
      </w:r>
      <w:r w:rsidR="00A4383F" w:rsidRPr="0044414A">
        <w:rPr>
          <w:rFonts w:cs="Arial"/>
          <w:color w:val="000000"/>
          <w:sz w:val="24"/>
          <w:szCs w:val="24"/>
          <w:lang w:eastAsia="en-GB"/>
        </w:rPr>
        <w:t xml:space="preserve">roject </w:t>
      </w:r>
      <w:r w:rsidR="0044414A">
        <w:rPr>
          <w:rFonts w:cs="Arial"/>
          <w:color w:val="000000"/>
          <w:sz w:val="24"/>
          <w:szCs w:val="24"/>
          <w:lang w:eastAsia="en-GB"/>
        </w:rPr>
        <w:t>M</w:t>
      </w:r>
      <w:r w:rsidR="00A4383F" w:rsidRPr="0044414A">
        <w:rPr>
          <w:rFonts w:cs="Arial"/>
          <w:color w:val="000000"/>
          <w:sz w:val="24"/>
          <w:szCs w:val="24"/>
          <w:lang w:eastAsia="en-GB"/>
        </w:rPr>
        <w:t xml:space="preserve">anagement </w:t>
      </w:r>
      <w:r w:rsidR="0044414A">
        <w:rPr>
          <w:rFonts w:cs="Arial"/>
          <w:color w:val="000000"/>
          <w:sz w:val="24"/>
          <w:szCs w:val="24"/>
          <w:lang w:eastAsia="en-GB"/>
        </w:rPr>
        <w:t>O</w:t>
      </w:r>
      <w:r w:rsidR="00A4383F" w:rsidRPr="0044414A">
        <w:rPr>
          <w:rFonts w:cs="Arial"/>
          <w:color w:val="000000"/>
          <w:sz w:val="24"/>
          <w:szCs w:val="24"/>
          <w:lang w:eastAsia="en-GB"/>
        </w:rPr>
        <w:t xml:space="preserve">fficer will be required as part of the delivery process. The </w:t>
      </w:r>
      <w:r w:rsidR="00CB7DDE">
        <w:rPr>
          <w:rFonts w:cs="Arial"/>
          <w:color w:val="000000"/>
          <w:sz w:val="24"/>
          <w:szCs w:val="24"/>
          <w:lang w:eastAsia="en-GB"/>
        </w:rPr>
        <w:t>C</w:t>
      </w:r>
      <w:r w:rsidR="00A4383F" w:rsidRPr="0044414A">
        <w:rPr>
          <w:rFonts w:cs="Arial"/>
          <w:color w:val="000000"/>
          <w:sz w:val="24"/>
          <w:szCs w:val="24"/>
          <w:lang w:eastAsia="en-GB"/>
        </w:rPr>
        <w:t xml:space="preserve">limate </w:t>
      </w:r>
      <w:r w:rsidR="00CB7DDE">
        <w:rPr>
          <w:rFonts w:cs="Arial"/>
          <w:color w:val="000000"/>
          <w:sz w:val="24"/>
          <w:szCs w:val="24"/>
          <w:lang w:eastAsia="en-GB"/>
        </w:rPr>
        <w:t>A</w:t>
      </w:r>
      <w:r w:rsidR="00A4383F" w:rsidRPr="0044414A">
        <w:rPr>
          <w:rFonts w:cs="Arial"/>
          <w:color w:val="000000"/>
          <w:sz w:val="24"/>
          <w:szCs w:val="24"/>
          <w:lang w:eastAsia="en-GB"/>
        </w:rPr>
        <w:t>ction and sustainability team</w:t>
      </w:r>
      <w:r w:rsidR="00F14CC6">
        <w:rPr>
          <w:rFonts w:cs="Arial"/>
          <w:color w:val="000000"/>
          <w:sz w:val="24"/>
          <w:szCs w:val="24"/>
          <w:lang w:eastAsia="en-GB"/>
        </w:rPr>
        <w:t xml:space="preserve"> at Ealing</w:t>
      </w:r>
      <w:r w:rsidR="00A4383F" w:rsidRPr="0044414A">
        <w:rPr>
          <w:rFonts w:cs="Arial"/>
          <w:color w:val="000000"/>
          <w:sz w:val="24"/>
          <w:szCs w:val="24"/>
          <w:lang w:eastAsia="en-GB"/>
        </w:rPr>
        <w:t xml:space="preserve"> will be responsible for monitoring and delivering outcomes of the project; </w:t>
      </w:r>
      <w:r w:rsidR="00F14CC6">
        <w:rPr>
          <w:rFonts w:cs="Arial"/>
          <w:color w:val="000000"/>
          <w:sz w:val="24"/>
          <w:szCs w:val="24"/>
          <w:lang w:eastAsia="en-GB"/>
        </w:rPr>
        <w:t xml:space="preserve">and </w:t>
      </w:r>
      <w:r w:rsidR="00A4383F" w:rsidRPr="0044414A">
        <w:rPr>
          <w:rFonts w:cs="Arial"/>
          <w:color w:val="000000"/>
          <w:sz w:val="24"/>
          <w:szCs w:val="24"/>
          <w:lang w:eastAsia="en-GB"/>
        </w:rPr>
        <w:t xml:space="preserve">costs associated with the </w:t>
      </w:r>
      <w:r w:rsidR="00F14CC6">
        <w:rPr>
          <w:rFonts w:cs="Arial"/>
          <w:color w:val="000000"/>
          <w:sz w:val="24"/>
          <w:szCs w:val="24"/>
          <w:lang w:eastAsia="en-GB"/>
        </w:rPr>
        <w:t xml:space="preserve">Project Manager </w:t>
      </w:r>
      <w:r w:rsidR="00A4383F" w:rsidRPr="0044414A">
        <w:rPr>
          <w:rFonts w:cs="Arial"/>
          <w:color w:val="000000"/>
          <w:sz w:val="24"/>
          <w:szCs w:val="24"/>
          <w:lang w:eastAsia="en-GB"/>
        </w:rPr>
        <w:t>officer time have been funded by the grant.</w:t>
      </w:r>
    </w:p>
    <w:p w14:paraId="733CDF83" w14:textId="54877B28" w:rsidR="00D96814" w:rsidRPr="00CA4EF9" w:rsidRDefault="00CA4EF9" w:rsidP="00794B90">
      <w:pPr>
        <w:spacing w:before="240"/>
        <w:ind w:left="720" w:hanging="720"/>
        <w:rPr>
          <w:bCs/>
          <w:szCs w:val="24"/>
        </w:rPr>
      </w:pPr>
      <w:r w:rsidRPr="00CA4EF9">
        <w:rPr>
          <w:bCs/>
          <w:szCs w:val="24"/>
        </w:rPr>
        <w:t>7.2</w:t>
      </w:r>
      <w:r w:rsidRPr="00CA4EF9">
        <w:rPr>
          <w:bCs/>
          <w:szCs w:val="24"/>
        </w:rPr>
        <w:tab/>
      </w:r>
      <w:r>
        <w:rPr>
          <w:bCs/>
          <w:szCs w:val="24"/>
        </w:rPr>
        <w:t xml:space="preserve">Harrow has been resourcing </w:t>
      </w:r>
      <w:r w:rsidR="00242302">
        <w:rPr>
          <w:bCs/>
          <w:szCs w:val="24"/>
        </w:rPr>
        <w:t>its contribution to the West London Consortium</w:t>
      </w:r>
      <w:r w:rsidR="00794B90">
        <w:rPr>
          <w:bCs/>
          <w:szCs w:val="24"/>
        </w:rPr>
        <w:t xml:space="preserve"> through existing resource levels.  However, </w:t>
      </w:r>
      <w:r w:rsidR="00603FEA">
        <w:rPr>
          <w:bCs/>
          <w:szCs w:val="24"/>
        </w:rPr>
        <w:t xml:space="preserve">as this is an expanding area of work for the </w:t>
      </w:r>
      <w:r w:rsidR="00682921">
        <w:rPr>
          <w:bCs/>
          <w:szCs w:val="24"/>
        </w:rPr>
        <w:t xml:space="preserve">Housing Department’s Asset Management </w:t>
      </w:r>
      <w:r w:rsidR="00587EFA">
        <w:rPr>
          <w:bCs/>
          <w:szCs w:val="24"/>
        </w:rPr>
        <w:t>Team,</w:t>
      </w:r>
      <w:r w:rsidR="00682921">
        <w:rPr>
          <w:bCs/>
          <w:szCs w:val="24"/>
        </w:rPr>
        <w:t xml:space="preserve"> we will be submitting a business case </w:t>
      </w:r>
      <w:r w:rsidR="00A866D2">
        <w:rPr>
          <w:bCs/>
          <w:szCs w:val="24"/>
        </w:rPr>
        <w:t xml:space="preserve">for some General Funded support.  </w:t>
      </w:r>
      <w:r w:rsidR="00682921">
        <w:rPr>
          <w:bCs/>
          <w:szCs w:val="24"/>
        </w:rPr>
        <w:t xml:space="preserve"> </w:t>
      </w:r>
      <w:r w:rsidR="00502589">
        <w:rPr>
          <w:bCs/>
          <w:szCs w:val="24"/>
        </w:rPr>
        <w:t xml:space="preserve">We do expect a proportion of this to be funded through more support for </w:t>
      </w:r>
      <w:r w:rsidR="00205CAB">
        <w:rPr>
          <w:bCs/>
          <w:szCs w:val="24"/>
        </w:rPr>
        <w:t>Consortium Borough’s</w:t>
      </w:r>
      <w:r w:rsidR="008C4BB4">
        <w:rPr>
          <w:bCs/>
          <w:szCs w:val="24"/>
        </w:rPr>
        <w:t xml:space="preserve"> for project </w:t>
      </w:r>
      <w:r w:rsidR="008C4BB4">
        <w:rPr>
          <w:bCs/>
          <w:szCs w:val="24"/>
        </w:rPr>
        <w:lastRenderedPageBreak/>
        <w:t>administration.</w:t>
      </w:r>
      <w:r w:rsidR="00BE119D">
        <w:rPr>
          <w:bCs/>
          <w:szCs w:val="24"/>
        </w:rPr>
        <w:t xml:space="preserve">  To this end the Phase 3 funding bid includes £16k for each Borough </w:t>
      </w:r>
      <w:r w:rsidR="00D57754">
        <w:rPr>
          <w:bCs/>
          <w:szCs w:val="24"/>
        </w:rPr>
        <w:t>for project administration.</w:t>
      </w:r>
    </w:p>
    <w:p w14:paraId="271683C0" w14:textId="7189F8AF" w:rsidR="00A4383F" w:rsidRPr="00A879DE" w:rsidRDefault="00E52D42" w:rsidP="001472A8">
      <w:pPr>
        <w:spacing w:before="240"/>
        <w:rPr>
          <w:b/>
          <w:szCs w:val="24"/>
        </w:rPr>
      </w:pPr>
      <w:r>
        <w:rPr>
          <w:b/>
          <w:szCs w:val="24"/>
        </w:rPr>
        <w:t>8.</w:t>
      </w:r>
      <w:r w:rsidR="0078260B">
        <w:rPr>
          <w:b/>
          <w:szCs w:val="24"/>
        </w:rPr>
        <w:tab/>
      </w:r>
      <w:r w:rsidR="00307F76" w:rsidRPr="00D1649D">
        <w:rPr>
          <w:b/>
          <w:szCs w:val="24"/>
        </w:rPr>
        <w:t xml:space="preserve">Ward Councillors’ comments </w:t>
      </w:r>
    </w:p>
    <w:p w14:paraId="7EA968F0" w14:textId="302D6A49" w:rsidR="00A879DE" w:rsidRDefault="0078260B" w:rsidP="0078260B">
      <w:pPr>
        <w:spacing w:before="240"/>
        <w:ind w:left="720" w:hanging="720"/>
        <w:rPr>
          <w:bCs/>
          <w:szCs w:val="24"/>
        </w:rPr>
      </w:pPr>
      <w:r>
        <w:rPr>
          <w:bCs/>
          <w:szCs w:val="24"/>
        </w:rPr>
        <w:t>8.1</w:t>
      </w:r>
      <w:r>
        <w:rPr>
          <w:bCs/>
          <w:szCs w:val="24"/>
        </w:rPr>
        <w:tab/>
      </w:r>
      <w:r w:rsidR="00683270">
        <w:rPr>
          <w:bCs/>
          <w:szCs w:val="24"/>
        </w:rPr>
        <w:t xml:space="preserve">The GHGLAD scheme can potentially deliver within any ward in the Borough.  </w:t>
      </w:r>
      <w:r w:rsidR="00587EFA">
        <w:rPr>
          <w:bCs/>
          <w:szCs w:val="24"/>
        </w:rPr>
        <w:t>Therefore,</w:t>
      </w:r>
      <w:r w:rsidR="008C57B6">
        <w:rPr>
          <w:bCs/>
          <w:szCs w:val="24"/>
        </w:rPr>
        <w:t xml:space="preserve"> no specific ward information has been sought. </w:t>
      </w:r>
      <w:r w:rsidR="00683270">
        <w:rPr>
          <w:bCs/>
          <w:szCs w:val="24"/>
        </w:rPr>
        <w:t>We will ensure that any Ward Councillor’s com</w:t>
      </w:r>
      <w:r w:rsidR="008C57B6">
        <w:rPr>
          <w:bCs/>
          <w:szCs w:val="24"/>
        </w:rPr>
        <w:t>ments are considered to inform the planning and delivery of the scheme.</w:t>
      </w:r>
    </w:p>
    <w:p w14:paraId="12B2B7E2" w14:textId="67763FE1" w:rsidR="00333FAA" w:rsidRPr="0078260B" w:rsidRDefault="00E52D42" w:rsidP="0078260B">
      <w:pPr>
        <w:spacing w:before="240"/>
        <w:rPr>
          <w:b/>
          <w:szCs w:val="24"/>
        </w:rPr>
      </w:pPr>
      <w:r w:rsidRPr="0078260B">
        <w:rPr>
          <w:b/>
          <w:szCs w:val="24"/>
        </w:rPr>
        <w:t>9.</w:t>
      </w:r>
      <w:r w:rsidR="0078260B">
        <w:rPr>
          <w:b/>
          <w:szCs w:val="24"/>
        </w:rPr>
        <w:tab/>
      </w:r>
      <w:r w:rsidR="00333FAA" w:rsidRPr="0078260B">
        <w:rPr>
          <w:b/>
          <w:szCs w:val="24"/>
        </w:rPr>
        <w:t>Performance Issues</w:t>
      </w:r>
    </w:p>
    <w:p w14:paraId="758FF1F2" w14:textId="79CAF418" w:rsidR="00A74925" w:rsidRDefault="0078260B" w:rsidP="0078260B">
      <w:pPr>
        <w:pStyle w:val="BodyTextIndent"/>
        <w:ind w:left="720" w:hanging="720"/>
        <w:rPr>
          <w:szCs w:val="24"/>
        </w:rPr>
      </w:pPr>
      <w:r>
        <w:rPr>
          <w:szCs w:val="24"/>
        </w:rPr>
        <w:t>9.1</w:t>
      </w:r>
      <w:r>
        <w:rPr>
          <w:szCs w:val="24"/>
        </w:rPr>
        <w:tab/>
      </w:r>
      <w:r w:rsidR="00412056" w:rsidRPr="00CB7DDE">
        <w:rPr>
          <w:szCs w:val="24"/>
        </w:rPr>
        <w:t>Clear considerations of what is expected from the Managing Agent ha</w:t>
      </w:r>
      <w:r w:rsidR="00A74925">
        <w:rPr>
          <w:szCs w:val="24"/>
        </w:rPr>
        <w:t>ve</w:t>
      </w:r>
      <w:r w:rsidR="00412056" w:rsidRPr="00CB7DDE">
        <w:rPr>
          <w:szCs w:val="24"/>
        </w:rPr>
        <w:t xml:space="preserve"> been set within the tender documents including the quality and </w:t>
      </w:r>
      <w:r w:rsidR="00CB7DDE" w:rsidRPr="00CB7DDE">
        <w:rPr>
          <w:szCs w:val="24"/>
        </w:rPr>
        <w:t>workflow</w:t>
      </w:r>
      <w:r w:rsidR="00412056" w:rsidRPr="00CB7DDE">
        <w:rPr>
          <w:szCs w:val="24"/>
        </w:rPr>
        <w:t xml:space="preserve"> </w:t>
      </w:r>
      <w:r w:rsidR="00B32DE9" w:rsidRPr="00CB7DDE">
        <w:rPr>
          <w:szCs w:val="24"/>
        </w:rPr>
        <w:t xml:space="preserve">with the </w:t>
      </w:r>
      <w:r w:rsidR="00AE3DA2" w:rsidRPr="00CB7DDE">
        <w:rPr>
          <w:szCs w:val="24"/>
        </w:rPr>
        <w:t>managing agent</w:t>
      </w:r>
      <w:r w:rsidR="00412056" w:rsidRPr="00CB7DDE">
        <w:rPr>
          <w:szCs w:val="24"/>
        </w:rPr>
        <w:t xml:space="preserve"> </w:t>
      </w:r>
      <w:r w:rsidR="00B32DE9" w:rsidRPr="00CB7DDE">
        <w:rPr>
          <w:szCs w:val="24"/>
        </w:rPr>
        <w:t>being</w:t>
      </w:r>
      <w:r w:rsidR="00412056" w:rsidRPr="00CB7DDE">
        <w:rPr>
          <w:szCs w:val="24"/>
        </w:rPr>
        <w:t xml:space="preserve"> responsible for managing the supply chain as well as any complaints arising</w:t>
      </w:r>
      <w:r w:rsidR="00AE3DA2" w:rsidRPr="00CB7DDE">
        <w:rPr>
          <w:szCs w:val="24"/>
        </w:rPr>
        <w:t xml:space="preserve"> or their supply chain. </w:t>
      </w:r>
    </w:p>
    <w:p w14:paraId="5D8A396E" w14:textId="6182E4CA" w:rsidR="00AE3DA2" w:rsidRDefault="00AE3DA2" w:rsidP="0078260B">
      <w:pPr>
        <w:pStyle w:val="BodyTextIndent"/>
        <w:ind w:left="720"/>
        <w:rPr>
          <w:szCs w:val="24"/>
        </w:rPr>
      </w:pPr>
      <w:r w:rsidRPr="00CB7DDE">
        <w:rPr>
          <w:szCs w:val="24"/>
        </w:rPr>
        <w:t xml:space="preserve">The managing agent’s contract will include provisions to cover the Councils in the event of contractor/sub-contractor poor performance. </w:t>
      </w:r>
    </w:p>
    <w:p w14:paraId="71FB6324" w14:textId="6F976848" w:rsidR="00A74925" w:rsidRDefault="0078260B" w:rsidP="0078260B">
      <w:pPr>
        <w:pStyle w:val="BodyTextIndent"/>
        <w:ind w:left="720" w:hanging="720"/>
        <w:rPr>
          <w:szCs w:val="24"/>
        </w:rPr>
      </w:pPr>
      <w:r>
        <w:rPr>
          <w:szCs w:val="24"/>
        </w:rPr>
        <w:t>9.2</w:t>
      </w:r>
      <w:r>
        <w:rPr>
          <w:szCs w:val="24"/>
        </w:rPr>
        <w:tab/>
      </w:r>
      <w:r w:rsidR="00A74925">
        <w:rPr>
          <w:szCs w:val="24"/>
        </w:rPr>
        <w:t xml:space="preserve">Meetings will be held </w:t>
      </w:r>
      <w:r w:rsidR="00587907">
        <w:rPr>
          <w:szCs w:val="24"/>
        </w:rPr>
        <w:t>bi-monthly</w:t>
      </w:r>
      <w:r w:rsidR="00A74925">
        <w:rPr>
          <w:szCs w:val="24"/>
        </w:rPr>
        <w:t xml:space="preserve"> by Ealing Co</w:t>
      </w:r>
      <w:bookmarkStart w:id="3" w:name="_GoBack"/>
      <w:bookmarkEnd w:id="3"/>
      <w:r w:rsidR="00A74925">
        <w:rPr>
          <w:szCs w:val="24"/>
        </w:rPr>
        <w:t xml:space="preserve">uncil and </w:t>
      </w:r>
      <w:r w:rsidR="00C60F65">
        <w:rPr>
          <w:szCs w:val="24"/>
        </w:rPr>
        <w:t xml:space="preserve">attended by partnering </w:t>
      </w:r>
      <w:r w:rsidR="00AD53BC">
        <w:rPr>
          <w:szCs w:val="24"/>
        </w:rPr>
        <w:t>Borough</w:t>
      </w:r>
      <w:r w:rsidR="00C60F65">
        <w:rPr>
          <w:szCs w:val="24"/>
        </w:rPr>
        <w:t xml:space="preserve">s as appropriate </w:t>
      </w:r>
      <w:r w:rsidR="00A74925">
        <w:rPr>
          <w:szCs w:val="24"/>
        </w:rPr>
        <w:t xml:space="preserve">to identify any issues and discuss all related works for the </w:t>
      </w:r>
      <w:r w:rsidR="002E6A4F">
        <w:rPr>
          <w:szCs w:val="24"/>
        </w:rPr>
        <w:t xml:space="preserve">upcoming </w:t>
      </w:r>
      <w:r w:rsidR="00A74925">
        <w:rPr>
          <w:szCs w:val="24"/>
        </w:rPr>
        <w:t>week</w:t>
      </w:r>
      <w:r w:rsidR="002E6A4F">
        <w:rPr>
          <w:szCs w:val="24"/>
        </w:rPr>
        <w:t>s.</w:t>
      </w:r>
    </w:p>
    <w:p w14:paraId="01609F94" w14:textId="1E89441D" w:rsidR="00CB7DDE" w:rsidRPr="00CB7DDE" w:rsidRDefault="00CB7DDE" w:rsidP="0078260B">
      <w:pPr>
        <w:pStyle w:val="BodyTextIndent"/>
        <w:ind w:left="720"/>
        <w:rPr>
          <w:szCs w:val="24"/>
        </w:rPr>
      </w:pPr>
      <w:r>
        <w:rPr>
          <w:szCs w:val="24"/>
        </w:rPr>
        <w:t xml:space="preserve">KPI’s have been issued as part of the tender and monthly reporting to BEIS will inform </w:t>
      </w:r>
      <w:r w:rsidR="00F14CC6">
        <w:rPr>
          <w:szCs w:val="24"/>
        </w:rPr>
        <w:t xml:space="preserve">whether these are being adhered to and </w:t>
      </w:r>
      <w:r w:rsidR="00C60F65">
        <w:rPr>
          <w:szCs w:val="24"/>
        </w:rPr>
        <w:t xml:space="preserve">will also inform on </w:t>
      </w:r>
      <w:r w:rsidR="00F14CC6">
        <w:rPr>
          <w:szCs w:val="24"/>
        </w:rPr>
        <w:t>any corrective actions that need to be taken.</w:t>
      </w:r>
    </w:p>
    <w:p w14:paraId="0CDAFD1F" w14:textId="20BDC3F6" w:rsidR="00714BEE" w:rsidRDefault="00714BEE" w:rsidP="001C7E35">
      <w:pPr>
        <w:tabs>
          <w:tab w:val="left" w:pos="7245"/>
        </w:tabs>
        <w:rPr>
          <w:rFonts w:cs="Arial"/>
          <w:b/>
          <w:bCs/>
          <w:sz w:val="28"/>
          <w:szCs w:val="28"/>
        </w:rPr>
      </w:pPr>
    </w:p>
    <w:p w14:paraId="56D14E0C" w14:textId="6C5098A8" w:rsidR="00412056" w:rsidRDefault="00E52D42" w:rsidP="00412056">
      <w:pPr>
        <w:pStyle w:val="Heading4"/>
        <w:rPr>
          <w:bCs/>
          <w:sz w:val="28"/>
          <w:szCs w:val="28"/>
        </w:rPr>
      </w:pPr>
      <w:r w:rsidRPr="0030661C">
        <w:rPr>
          <w:bCs/>
          <w:sz w:val="28"/>
          <w:szCs w:val="28"/>
        </w:rPr>
        <w:t xml:space="preserve">10. </w:t>
      </w:r>
      <w:r w:rsidR="0078260B" w:rsidRPr="0030661C">
        <w:rPr>
          <w:bCs/>
          <w:sz w:val="28"/>
          <w:szCs w:val="28"/>
        </w:rPr>
        <w:tab/>
      </w:r>
      <w:r w:rsidR="00333FAA" w:rsidRPr="0030661C">
        <w:rPr>
          <w:bCs/>
          <w:sz w:val="28"/>
          <w:szCs w:val="28"/>
        </w:rPr>
        <w:t>Environmental Implications</w:t>
      </w:r>
    </w:p>
    <w:p w14:paraId="6AFD5F03" w14:textId="77777777" w:rsidR="0030661C" w:rsidRPr="0030661C" w:rsidRDefault="0030661C" w:rsidP="0030661C"/>
    <w:p w14:paraId="479DF789" w14:textId="5FF4E0A9" w:rsidR="008C1985" w:rsidRDefault="0078260B" w:rsidP="0078260B">
      <w:pPr>
        <w:ind w:left="720" w:hanging="720"/>
        <w:jc w:val="both"/>
        <w:rPr>
          <w:iCs/>
        </w:rPr>
      </w:pPr>
      <w:r>
        <w:rPr>
          <w:iCs/>
        </w:rPr>
        <w:t>10.1</w:t>
      </w:r>
      <w:r>
        <w:rPr>
          <w:iCs/>
        </w:rPr>
        <w:tab/>
      </w:r>
      <w:r w:rsidR="008C1985" w:rsidRPr="00CB7DDE">
        <w:rPr>
          <w:iCs/>
        </w:rPr>
        <w:t xml:space="preserve">The </w:t>
      </w:r>
      <w:r w:rsidR="00C60B44">
        <w:rPr>
          <w:iCs/>
        </w:rPr>
        <w:t xml:space="preserve">utilisation of this grant </w:t>
      </w:r>
      <w:r w:rsidR="008C1985" w:rsidRPr="00CB7DDE">
        <w:rPr>
          <w:iCs/>
        </w:rPr>
        <w:t xml:space="preserve">will enable the Council to </w:t>
      </w:r>
      <w:r w:rsidR="00412056" w:rsidRPr="00CB7DDE">
        <w:rPr>
          <w:iCs/>
        </w:rPr>
        <w:t>start to meaningfully reduce</w:t>
      </w:r>
      <w:r>
        <w:rPr>
          <w:iCs/>
        </w:rPr>
        <w:t xml:space="preserve"> </w:t>
      </w:r>
      <w:r w:rsidR="00412056" w:rsidRPr="00CB7DDE">
        <w:rPr>
          <w:iCs/>
        </w:rPr>
        <w:t>fuel poverty for households within the Borough which results in community</w:t>
      </w:r>
      <w:r>
        <w:rPr>
          <w:iCs/>
        </w:rPr>
        <w:t xml:space="preserve"> </w:t>
      </w:r>
      <w:r w:rsidR="00412056" w:rsidRPr="00CB7DDE">
        <w:rPr>
          <w:iCs/>
        </w:rPr>
        <w:t>wealth generation by reducing the overall impact of heating and fuel costs for</w:t>
      </w:r>
      <w:r>
        <w:rPr>
          <w:iCs/>
        </w:rPr>
        <w:t xml:space="preserve"> </w:t>
      </w:r>
      <w:r w:rsidR="00412056" w:rsidRPr="00CB7DDE">
        <w:rPr>
          <w:iCs/>
        </w:rPr>
        <w:t>residents.</w:t>
      </w:r>
    </w:p>
    <w:p w14:paraId="505BAF7A" w14:textId="6867AD5D" w:rsidR="00EC133E" w:rsidRDefault="00EC133E" w:rsidP="0078260B">
      <w:pPr>
        <w:ind w:left="720" w:hanging="720"/>
        <w:jc w:val="both"/>
        <w:rPr>
          <w:iCs/>
        </w:rPr>
      </w:pPr>
    </w:p>
    <w:p w14:paraId="6C72C504" w14:textId="312DA332" w:rsidR="00EC133E" w:rsidRPr="00CB7DDE" w:rsidRDefault="00EC133E" w:rsidP="0078260B">
      <w:pPr>
        <w:ind w:left="720" w:hanging="720"/>
        <w:jc w:val="both"/>
        <w:rPr>
          <w:iCs/>
        </w:rPr>
      </w:pPr>
      <w:r>
        <w:rPr>
          <w:iCs/>
        </w:rPr>
        <w:t>10.2</w:t>
      </w:r>
      <w:r>
        <w:rPr>
          <w:iCs/>
        </w:rPr>
        <w:tab/>
        <w:t xml:space="preserve">Retrofitting of domestic properties </w:t>
      </w:r>
      <w:r w:rsidR="00C05957">
        <w:rPr>
          <w:iCs/>
        </w:rPr>
        <w:t xml:space="preserve">with energy efficiency measures also contributes to </w:t>
      </w:r>
      <w:r w:rsidR="00926D70">
        <w:rPr>
          <w:iCs/>
        </w:rPr>
        <w:t xml:space="preserve">a </w:t>
      </w:r>
      <w:r w:rsidR="00C05957">
        <w:rPr>
          <w:iCs/>
        </w:rPr>
        <w:t xml:space="preserve">reduced gas heating </w:t>
      </w:r>
      <w:r w:rsidR="0023674F">
        <w:rPr>
          <w:iCs/>
        </w:rPr>
        <w:t xml:space="preserve">requirement </w:t>
      </w:r>
      <w:r w:rsidR="00043F48">
        <w:rPr>
          <w:iCs/>
        </w:rPr>
        <w:t xml:space="preserve">in those homes. </w:t>
      </w:r>
      <w:r w:rsidR="00926D70">
        <w:rPr>
          <w:iCs/>
        </w:rPr>
        <w:t>T</w:t>
      </w:r>
      <w:r w:rsidR="00043F48">
        <w:rPr>
          <w:iCs/>
        </w:rPr>
        <w:t xml:space="preserve">he volume of </w:t>
      </w:r>
      <w:r w:rsidR="00C05957">
        <w:rPr>
          <w:iCs/>
        </w:rPr>
        <w:t>direct</w:t>
      </w:r>
      <w:r w:rsidR="00043F48">
        <w:rPr>
          <w:iCs/>
        </w:rPr>
        <w:t>ly produced</w:t>
      </w:r>
      <w:r w:rsidR="00C05957">
        <w:rPr>
          <w:iCs/>
        </w:rPr>
        <w:t xml:space="preserve"> greenhouse gas emissions </w:t>
      </w:r>
      <w:r w:rsidR="00043F48">
        <w:rPr>
          <w:iCs/>
        </w:rPr>
        <w:t xml:space="preserve">occurring </w:t>
      </w:r>
      <w:r w:rsidR="00C05957">
        <w:rPr>
          <w:iCs/>
        </w:rPr>
        <w:t>in the borough</w:t>
      </w:r>
      <w:r w:rsidR="00926D70">
        <w:rPr>
          <w:iCs/>
        </w:rPr>
        <w:t xml:space="preserve"> is consequently also reduced. </w:t>
      </w:r>
      <w:r w:rsidR="00C05957">
        <w:rPr>
          <w:iCs/>
        </w:rPr>
        <w:t xml:space="preserve"> </w:t>
      </w:r>
    </w:p>
    <w:p w14:paraId="37E7316F" w14:textId="77777777" w:rsidR="00412056" w:rsidRPr="00CB7DDE" w:rsidRDefault="00412056" w:rsidP="008C1985"/>
    <w:p w14:paraId="46BC97FA" w14:textId="2AFD6FD0" w:rsidR="00E1700F" w:rsidRPr="00CB7DDE" w:rsidRDefault="0078260B" w:rsidP="00E1700F">
      <w:pPr>
        <w:ind w:left="720" w:hanging="720"/>
        <w:jc w:val="both"/>
        <w:rPr>
          <w:iCs/>
        </w:rPr>
      </w:pPr>
      <w:r>
        <w:rPr>
          <w:iCs/>
        </w:rPr>
        <w:t>10.2</w:t>
      </w:r>
      <w:r>
        <w:rPr>
          <w:iCs/>
        </w:rPr>
        <w:tab/>
      </w:r>
      <w:r w:rsidR="00E1700F" w:rsidRPr="00CB7DDE">
        <w:rPr>
          <w:iCs/>
        </w:rPr>
        <w:t>It is the intention that the delivery of any contract will contribute to the</w:t>
      </w:r>
    </w:p>
    <w:p w14:paraId="72B0E789" w14:textId="77777777" w:rsidR="00E1700F" w:rsidRPr="00CB7DDE" w:rsidRDefault="00E1700F" w:rsidP="0078260B">
      <w:pPr>
        <w:ind w:left="720"/>
        <w:jc w:val="both"/>
        <w:rPr>
          <w:iCs/>
        </w:rPr>
      </w:pPr>
      <w:r w:rsidRPr="00CB7DDE">
        <w:rPr>
          <w:iCs/>
        </w:rPr>
        <w:t>Council’s objectives around social, economic and environmental</w:t>
      </w:r>
    </w:p>
    <w:p w14:paraId="203EC77D" w14:textId="355B9869" w:rsidR="008C1985" w:rsidRDefault="00E1700F" w:rsidP="0078260B">
      <w:pPr>
        <w:ind w:left="720"/>
        <w:jc w:val="both"/>
        <w:rPr>
          <w:iCs/>
        </w:rPr>
      </w:pPr>
      <w:r w:rsidRPr="00CB7DDE">
        <w:rPr>
          <w:iCs/>
        </w:rPr>
        <w:t xml:space="preserve">sustainability. </w:t>
      </w:r>
    </w:p>
    <w:p w14:paraId="15F2C0CD" w14:textId="77777777" w:rsidR="00BC5035" w:rsidRPr="00CB7DDE" w:rsidRDefault="00BC5035" w:rsidP="0078260B">
      <w:pPr>
        <w:ind w:left="720"/>
        <w:jc w:val="both"/>
        <w:rPr>
          <w:iCs/>
        </w:rPr>
      </w:pPr>
    </w:p>
    <w:p w14:paraId="3A60228F" w14:textId="2A82356B" w:rsidR="00E1700F" w:rsidRDefault="00E1700F" w:rsidP="00641A44">
      <w:pPr>
        <w:ind w:left="720"/>
        <w:jc w:val="both"/>
        <w:rPr>
          <w:iCs/>
        </w:rPr>
      </w:pPr>
      <w:r w:rsidRPr="00CB7DDE">
        <w:rPr>
          <w:iCs/>
        </w:rPr>
        <w:t xml:space="preserve">The </w:t>
      </w:r>
      <w:r w:rsidR="00641A44">
        <w:rPr>
          <w:iCs/>
        </w:rPr>
        <w:t xml:space="preserve">appointed Managing Agent will be requested to </w:t>
      </w:r>
      <w:r w:rsidRPr="00CB7DDE">
        <w:rPr>
          <w:iCs/>
        </w:rPr>
        <w:t>do all it can to ensure that it supports</w:t>
      </w:r>
      <w:r w:rsidR="00641A44">
        <w:rPr>
          <w:iCs/>
        </w:rPr>
        <w:t xml:space="preserve"> </w:t>
      </w:r>
      <w:r w:rsidRPr="00CB7DDE">
        <w:rPr>
          <w:iCs/>
        </w:rPr>
        <w:t>Harrow’s economy by buying locally wherever practical and maximise</w:t>
      </w:r>
      <w:r w:rsidR="00641A44">
        <w:rPr>
          <w:iCs/>
        </w:rPr>
        <w:t xml:space="preserve"> </w:t>
      </w:r>
      <w:r w:rsidRPr="00CB7DDE">
        <w:rPr>
          <w:iCs/>
        </w:rPr>
        <w:t xml:space="preserve">opportunities for local people in employment and training. </w:t>
      </w:r>
    </w:p>
    <w:p w14:paraId="60480643" w14:textId="77777777" w:rsidR="00587EFA" w:rsidRPr="00CB7DDE" w:rsidRDefault="00587EFA" w:rsidP="00641A44">
      <w:pPr>
        <w:ind w:left="720"/>
        <w:jc w:val="both"/>
        <w:rPr>
          <w:iCs/>
        </w:rPr>
      </w:pPr>
    </w:p>
    <w:p w14:paraId="67E9E565" w14:textId="77777777" w:rsidR="00587EFA" w:rsidRPr="00CB7DDE" w:rsidRDefault="00587EFA" w:rsidP="001C7E35">
      <w:pPr>
        <w:rPr>
          <w:i/>
        </w:rPr>
      </w:pPr>
    </w:p>
    <w:p w14:paraId="67A6212A" w14:textId="131242D0" w:rsidR="0078260B" w:rsidRDefault="00E52D42" w:rsidP="00587EFA">
      <w:pPr>
        <w:tabs>
          <w:tab w:val="left" w:pos="7245"/>
        </w:tabs>
        <w:rPr>
          <w:szCs w:val="24"/>
        </w:rPr>
      </w:pPr>
      <w:r w:rsidRPr="0030661C">
        <w:rPr>
          <w:rFonts w:cs="Arial"/>
          <w:b/>
          <w:bCs/>
          <w:sz w:val="28"/>
          <w:szCs w:val="28"/>
        </w:rPr>
        <w:t>11.</w:t>
      </w:r>
      <w:r w:rsidR="0030661C">
        <w:rPr>
          <w:rFonts w:cs="Arial"/>
          <w:b/>
          <w:bCs/>
          <w:sz w:val="28"/>
          <w:szCs w:val="28"/>
        </w:rPr>
        <w:t xml:space="preserve">     </w:t>
      </w:r>
      <w:r w:rsidR="002A3FEF" w:rsidRPr="0030661C">
        <w:rPr>
          <w:rFonts w:cs="Arial"/>
          <w:b/>
          <w:bCs/>
          <w:sz w:val="28"/>
          <w:szCs w:val="28"/>
        </w:rPr>
        <w:t>Dat</w:t>
      </w:r>
      <w:r w:rsidR="00DE72CF" w:rsidRPr="0030661C">
        <w:rPr>
          <w:rFonts w:cs="Arial"/>
          <w:b/>
          <w:bCs/>
          <w:sz w:val="28"/>
          <w:szCs w:val="28"/>
        </w:rPr>
        <w:t>a</w:t>
      </w:r>
      <w:r w:rsidR="002A3FEF" w:rsidRPr="0030661C">
        <w:rPr>
          <w:rFonts w:cs="Arial"/>
          <w:b/>
          <w:bCs/>
          <w:sz w:val="28"/>
          <w:szCs w:val="28"/>
        </w:rPr>
        <w:t xml:space="preserve"> Protection Implications</w:t>
      </w:r>
      <w:r w:rsidR="001540EE" w:rsidRPr="0030661C">
        <w:rPr>
          <w:rFonts w:cs="Arial"/>
          <w:b/>
          <w:bCs/>
          <w:sz w:val="28"/>
          <w:szCs w:val="28"/>
        </w:rPr>
        <w:t xml:space="preserve">  </w:t>
      </w:r>
      <w:r w:rsidR="001540EE" w:rsidRPr="00F14CC6">
        <w:rPr>
          <w:szCs w:val="24"/>
        </w:rPr>
        <w:t xml:space="preserve">                                                                                   </w:t>
      </w:r>
    </w:p>
    <w:p w14:paraId="38371AC1" w14:textId="1532EB35" w:rsidR="00673633" w:rsidRDefault="0078260B" w:rsidP="00866727">
      <w:pPr>
        <w:pStyle w:val="Heading4"/>
        <w:ind w:left="720" w:hanging="720"/>
        <w:rPr>
          <w:rFonts w:cs="Times New Roman"/>
          <w:b w:val="0"/>
          <w:bCs/>
        </w:rPr>
      </w:pPr>
      <w:r w:rsidRPr="0078260B">
        <w:rPr>
          <w:b w:val="0"/>
          <w:bCs/>
          <w:szCs w:val="24"/>
        </w:rPr>
        <w:lastRenderedPageBreak/>
        <w:t>11.1</w:t>
      </w:r>
      <w:r w:rsidRPr="0078260B">
        <w:rPr>
          <w:b w:val="0"/>
          <w:bCs/>
          <w:szCs w:val="24"/>
        </w:rPr>
        <w:tab/>
      </w:r>
      <w:r w:rsidR="00673633" w:rsidRPr="0078260B">
        <w:rPr>
          <w:rFonts w:cs="Times New Roman"/>
          <w:b w:val="0"/>
          <w:bCs/>
        </w:rPr>
        <w:t xml:space="preserve">All personal data processed in connection with the contract will be carried </w:t>
      </w:r>
      <w:r w:rsidR="00AE3DA2" w:rsidRPr="0078260B">
        <w:rPr>
          <w:rFonts w:cs="Times New Roman"/>
          <w:b w:val="0"/>
          <w:bCs/>
        </w:rPr>
        <w:t>out in</w:t>
      </w:r>
      <w:r w:rsidR="00673633" w:rsidRPr="0078260B">
        <w:rPr>
          <w:rFonts w:cs="Times New Roman"/>
          <w:b w:val="0"/>
          <w:bCs/>
        </w:rPr>
        <w:t xml:space="preserve"> full compliance with data protection laws including the Data Protection Act 2018 and GDPR.</w:t>
      </w:r>
    </w:p>
    <w:p w14:paraId="75284416" w14:textId="18AC27FC" w:rsidR="00A81E19" w:rsidRDefault="00E52D42" w:rsidP="00A1211C">
      <w:pPr>
        <w:pStyle w:val="Heading3"/>
        <w:spacing w:before="480" w:after="240"/>
      </w:pPr>
      <w:r>
        <w:t>12.</w:t>
      </w:r>
      <w:r w:rsidR="00FE68AE">
        <w:tab/>
      </w:r>
      <w:r w:rsidR="00A81E19" w:rsidRPr="001472A8">
        <w:t>Risk Management Implications</w:t>
      </w:r>
    </w:p>
    <w:p w14:paraId="3325FEB6" w14:textId="79013721" w:rsidR="00927435" w:rsidRDefault="00927435" w:rsidP="008326C3">
      <w:pPr>
        <w:pStyle w:val="BodyTextIndent"/>
        <w:spacing w:after="0"/>
        <w:ind w:left="720"/>
      </w:pPr>
      <w:r w:rsidRPr="008326C3">
        <w:t>Risks included on corporate or directorate risk register? Yes</w:t>
      </w:r>
    </w:p>
    <w:p w14:paraId="53A968F4" w14:textId="77777777" w:rsidR="00927435" w:rsidRPr="008326C3" w:rsidRDefault="00927435" w:rsidP="008326C3">
      <w:pPr>
        <w:pStyle w:val="BodyTextIndent"/>
        <w:spacing w:after="0"/>
        <w:ind w:left="720"/>
      </w:pPr>
      <w:r w:rsidRPr="008326C3">
        <w:t xml:space="preserve">  </w:t>
      </w:r>
    </w:p>
    <w:p w14:paraId="252C3481" w14:textId="77777777" w:rsidR="00927435" w:rsidRPr="008326C3" w:rsidRDefault="00927435" w:rsidP="008326C3">
      <w:pPr>
        <w:pStyle w:val="BodyTextIndent"/>
        <w:spacing w:after="0"/>
        <w:ind w:left="720"/>
      </w:pPr>
      <w:r w:rsidRPr="008326C3">
        <w:t>Separate risk register in place? Yes</w:t>
      </w:r>
    </w:p>
    <w:p w14:paraId="2BE706DD" w14:textId="77777777" w:rsidR="00927435" w:rsidRDefault="00927435" w:rsidP="008326C3">
      <w:pPr>
        <w:pStyle w:val="BodyTextIndent"/>
        <w:spacing w:after="0"/>
        <w:ind w:left="720"/>
      </w:pPr>
    </w:p>
    <w:p w14:paraId="58FF297F" w14:textId="5ACCAC77" w:rsidR="00927435" w:rsidRPr="008326C3" w:rsidRDefault="00927435" w:rsidP="008326C3">
      <w:pPr>
        <w:pStyle w:val="BodyTextIndent"/>
        <w:spacing w:after="0"/>
        <w:ind w:left="720"/>
      </w:pPr>
      <w:r>
        <w:t xml:space="preserve">The relevant risks contained in the register are attached/summarised below. </w:t>
      </w:r>
      <w:r w:rsidRPr="008326C3">
        <w:t>Yes</w:t>
      </w:r>
    </w:p>
    <w:p w14:paraId="4FE7C57A" w14:textId="77777777" w:rsidR="00927435" w:rsidRPr="008326C3" w:rsidRDefault="00927435" w:rsidP="008326C3">
      <w:pPr>
        <w:pStyle w:val="BodyTextIndent"/>
        <w:spacing w:after="0"/>
        <w:ind w:left="720"/>
      </w:pPr>
    </w:p>
    <w:p w14:paraId="098FB915" w14:textId="50098A3D" w:rsidR="00927435" w:rsidRPr="00F16E18" w:rsidRDefault="00927435" w:rsidP="00965EA2">
      <w:pPr>
        <w:pStyle w:val="BodyTextIndent"/>
        <w:spacing w:after="0"/>
        <w:ind w:left="720"/>
      </w:pPr>
      <w:r w:rsidRPr="00F16E18">
        <w:t xml:space="preserve">The following key risks should be </w:t>
      </w:r>
      <w:proofErr w:type="gramStart"/>
      <w:r w:rsidRPr="00F16E18">
        <w:t xml:space="preserve">taken </w:t>
      </w:r>
      <w:r w:rsidR="009764C9">
        <w:t>i</w:t>
      </w:r>
      <w:r w:rsidRPr="00F16E18">
        <w:t>nto account</w:t>
      </w:r>
      <w:proofErr w:type="gramEnd"/>
      <w:r w:rsidRPr="00F16E18">
        <w:t xml:space="preserve"> when agreeing the recommendations in this report:</w:t>
      </w:r>
    </w:p>
    <w:p w14:paraId="1F86A369" w14:textId="0B37BF76" w:rsidR="00927435" w:rsidRDefault="00927435" w:rsidP="00927435"/>
    <w:tbl>
      <w:tblPr>
        <w:tblW w:w="9211" w:type="dxa"/>
        <w:tblInd w:w="704" w:type="dxa"/>
        <w:tblCellMar>
          <w:left w:w="10" w:type="dxa"/>
          <w:right w:w="10" w:type="dxa"/>
        </w:tblCellMar>
        <w:tblLook w:val="0000" w:firstRow="0" w:lastRow="0" w:firstColumn="0" w:lastColumn="0" w:noHBand="0" w:noVBand="0"/>
      </w:tblPr>
      <w:tblGrid>
        <w:gridCol w:w="2735"/>
        <w:gridCol w:w="4606"/>
        <w:gridCol w:w="1870"/>
      </w:tblGrid>
      <w:tr w:rsidR="009764C9" w14:paraId="31E11107" w14:textId="77777777" w:rsidTr="009764C9">
        <w:trPr>
          <w:trHeight w:val="277"/>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893A" w14:textId="77777777" w:rsidR="009764C9" w:rsidRDefault="009764C9" w:rsidP="00E06C7F">
            <w:pPr>
              <w:ind w:right="141"/>
              <w:rPr>
                <w:rFonts w:cs="Arial"/>
                <w:b/>
                <w:bCs/>
                <w:szCs w:val="24"/>
                <w:lang w:val="en-US" w:eastAsia="en-GB"/>
              </w:rPr>
            </w:pPr>
            <w:r>
              <w:rPr>
                <w:rFonts w:cs="Arial"/>
                <w:b/>
                <w:bCs/>
                <w:szCs w:val="24"/>
                <w:lang w:val="en-US" w:eastAsia="en-GB"/>
              </w:rPr>
              <w:t xml:space="preserve">Risk Description </w:t>
            </w:r>
          </w:p>
        </w:tc>
        <w:tc>
          <w:tcPr>
            <w:tcW w:w="4606" w:type="dxa"/>
            <w:tcBorders>
              <w:top w:val="single" w:sz="4" w:space="0" w:color="000000"/>
              <w:left w:val="single" w:sz="4" w:space="0" w:color="000000"/>
              <w:bottom w:val="single" w:sz="4" w:space="0" w:color="000000"/>
              <w:right w:val="single" w:sz="4" w:space="0" w:color="000000"/>
            </w:tcBorders>
            <w:vAlign w:val="center"/>
          </w:tcPr>
          <w:p w14:paraId="6DB4415F" w14:textId="77777777" w:rsidR="009764C9" w:rsidRDefault="009764C9" w:rsidP="00E06C7F">
            <w:pPr>
              <w:ind w:right="141"/>
              <w:jc w:val="center"/>
              <w:rPr>
                <w:rFonts w:cs="Arial"/>
                <w:b/>
                <w:bCs/>
                <w:szCs w:val="24"/>
                <w:lang w:val="en-US" w:eastAsia="en-GB"/>
              </w:rPr>
            </w:pPr>
            <w:r>
              <w:rPr>
                <w:rFonts w:cs="Arial"/>
                <w:b/>
                <w:bCs/>
                <w:szCs w:val="24"/>
                <w:lang w:val="en-US" w:eastAsia="en-GB"/>
              </w:rPr>
              <w:t xml:space="preserve">Mitigations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3CC868" w14:textId="77777777" w:rsidR="009764C9" w:rsidRPr="008E5A1D" w:rsidRDefault="009764C9" w:rsidP="00E06C7F">
            <w:pPr>
              <w:ind w:right="141"/>
              <w:jc w:val="center"/>
              <w:rPr>
                <w:rFonts w:cs="Arial"/>
                <w:b/>
                <w:bCs/>
                <w:szCs w:val="24"/>
                <w:lang w:val="en-US" w:eastAsia="en-GB"/>
              </w:rPr>
            </w:pPr>
            <w:r w:rsidRPr="008E5A1D">
              <w:rPr>
                <w:rFonts w:cs="Arial"/>
                <w:b/>
                <w:bCs/>
                <w:szCs w:val="24"/>
                <w:lang w:val="en-US" w:eastAsia="en-GB"/>
              </w:rPr>
              <w:t xml:space="preserve">RAG Status </w:t>
            </w:r>
          </w:p>
        </w:tc>
      </w:tr>
      <w:tr w:rsidR="00530006" w14:paraId="1EA724E2" w14:textId="77777777" w:rsidTr="00530006">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18BFF" w14:textId="6123DA05" w:rsidR="00530006" w:rsidRPr="00C91E57" w:rsidRDefault="000725AB" w:rsidP="00530006">
            <w:pPr>
              <w:ind w:right="141"/>
              <w:rPr>
                <w:rFonts w:ascii="Arial Nova" w:eastAsia="Calibri" w:hAnsi="Arial Nova" w:cs="Arial"/>
                <w:b/>
                <w:bCs/>
                <w:sz w:val="18"/>
                <w:szCs w:val="18"/>
              </w:rPr>
            </w:pPr>
            <w:r>
              <w:rPr>
                <w:rFonts w:ascii="Arial Nova" w:eastAsia="Calibri" w:hAnsi="Arial Nova" w:cs="Arial"/>
                <w:b/>
                <w:bCs/>
                <w:sz w:val="18"/>
                <w:szCs w:val="18"/>
              </w:rPr>
              <w:t>Inability to meet d</w:t>
            </w:r>
            <w:r w:rsidR="00530006" w:rsidRPr="00C91E57">
              <w:rPr>
                <w:rFonts w:ascii="Arial Nova" w:eastAsia="Calibri" w:hAnsi="Arial Nova" w:cs="Arial"/>
                <w:b/>
                <w:bCs/>
                <w:sz w:val="18"/>
                <w:szCs w:val="18"/>
              </w:rPr>
              <w:t>elivery timescales</w:t>
            </w:r>
          </w:p>
          <w:p w14:paraId="722B8E9D" w14:textId="76F4B83C" w:rsidR="00530006" w:rsidRPr="00C91E57" w:rsidRDefault="00530006" w:rsidP="00530006">
            <w:pPr>
              <w:ind w:right="141"/>
              <w:rPr>
                <w:rFonts w:ascii="Arial Nova" w:eastAsia="Calibri" w:hAnsi="Arial Nova" w:cs="Arial"/>
                <w:b/>
                <w:bCs/>
                <w:sz w:val="18"/>
                <w:szCs w:val="18"/>
              </w:rPr>
            </w:pPr>
            <w:r w:rsidRPr="009809A2">
              <w:rPr>
                <w:rFonts w:ascii="Arial Nova" w:eastAsia="Calibri" w:hAnsi="Arial Nova" w:cs="Arial"/>
                <w:sz w:val="18"/>
                <w:szCs w:val="18"/>
              </w:rPr>
              <w:t>The funder requires all works to be completed by 31 March 2021</w:t>
            </w:r>
          </w:p>
        </w:tc>
        <w:tc>
          <w:tcPr>
            <w:tcW w:w="4606" w:type="dxa"/>
            <w:tcBorders>
              <w:top w:val="single" w:sz="4" w:space="0" w:color="000000"/>
              <w:left w:val="single" w:sz="4" w:space="0" w:color="000000"/>
              <w:bottom w:val="single" w:sz="4" w:space="0" w:color="000000"/>
              <w:right w:val="single" w:sz="4" w:space="0" w:color="000000"/>
            </w:tcBorders>
            <w:vAlign w:val="center"/>
          </w:tcPr>
          <w:p w14:paraId="1B10C181" w14:textId="77777777" w:rsidR="00CC5188" w:rsidRDefault="00530006" w:rsidP="00530006">
            <w:pPr>
              <w:rPr>
                <w:rFonts w:ascii="Arial Nova" w:eastAsia="Calibri" w:hAnsi="Arial Nova" w:cs="Arial"/>
                <w:sz w:val="18"/>
                <w:szCs w:val="18"/>
              </w:rPr>
            </w:pPr>
            <w:r w:rsidRPr="009809A2">
              <w:rPr>
                <w:rFonts w:ascii="Arial Nova" w:eastAsia="Calibri" w:hAnsi="Arial Nova" w:cs="Arial"/>
                <w:sz w:val="18"/>
                <w:szCs w:val="18"/>
              </w:rPr>
              <w:t>Work at pace to fulfil a compliant procurement process that produces the required delivery partner, who brings a robust supply chain that is committed to communication, quality and expediency</w:t>
            </w:r>
            <w:r>
              <w:rPr>
                <w:rFonts w:ascii="Arial Nova" w:eastAsia="Calibri" w:hAnsi="Arial Nova" w:cs="Arial"/>
                <w:sz w:val="18"/>
                <w:szCs w:val="18"/>
              </w:rPr>
              <w:t>.</w:t>
            </w:r>
            <w:r w:rsidR="002D2F95">
              <w:rPr>
                <w:rFonts w:ascii="Arial Nova" w:eastAsia="Calibri" w:hAnsi="Arial Nova" w:cs="Arial"/>
                <w:sz w:val="18"/>
                <w:szCs w:val="18"/>
              </w:rPr>
              <w:t xml:space="preserve"> </w:t>
            </w:r>
            <w:r w:rsidR="00CC5188">
              <w:rPr>
                <w:rFonts w:ascii="Arial Nova" w:eastAsia="Calibri" w:hAnsi="Arial Nova" w:cs="Arial"/>
                <w:sz w:val="18"/>
                <w:szCs w:val="18"/>
              </w:rPr>
              <w:t xml:space="preserve">As stated above, it has been </w:t>
            </w:r>
            <w:r w:rsidR="00CC5188" w:rsidRPr="001170F5">
              <w:rPr>
                <w:rFonts w:ascii="Arial Nova" w:eastAsia="Calibri" w:hAnsi="Arial Nova" w:cs="Arial"/>
                <w:sz w:val="18"/>
                <w:szCs w:val="18"/>
              </w:rPr>
              <w:t>request</w:t>
            </w:r>
            <w:r w:rsidR="00CC5188">
              <w:rPr>
                <w:rFonts w:ascii="Arial Nova" w:eastAsia="Calibri" w:hAnsi="Arial Nova" w:cs="Arial"/>
                <w:sz w:val="18"/>
                <w:szCs w:val="18"/>
              </w:rPr>
              <w:t>ed</w:t>
            </w:r>
            <w:r w:rsidR="00CC5188" w:rsidRPr="001170F5">
              <w:rPr>
                <w:rFonts w:ascii="Arial Nova" w:eastAsia="Calibri" w:hAnsi="Arial Nova" w:cs="Arial"/>
                <w:sz w:val="18"/>
                <w:szCs w:val="18"/>
              </w:rPr>
              <w:t xml:space="preserve"> to extend project delivery timescales</w:t>
            </w:r>
            <w:r w:rsidR="00CC5188">
              <w:rPr>
                <w:rFonts w:ascii="Arial Nova" w:eastAsia="Calibri" w:hAnsi="Arial Nova" w:cs="Arial"/>
                <w:sz w:val="18"/>
                <w:szCs w:val="18"/>
              </w:rPr>
              <w:t>. This is already in discussion with BEIS.</w:t>
            </w:r>
          </w:p>
          <w:p w14:paraId="0F1C2459" w14:textId="1BC97817" w:rsidR="00530006" w:rsidRDefault="002D2F95" w:rsidP="00530006">
            <w:pPr>
              <w:rPr>
                <w:rFonts w:ascii="Arial Nova" w:eastAsia="Calibri" w:hAnsi="Arial Nova" w:cs="Arial"/>
                <w:sz w:val="18"/>
                <w:szCs w:val="18"/>
              </w:rPr>
            </w:pPr>
            <w:r>
              <w:rPr>
                <w:rFonts w:ascii="Arial Nova" w:eastAsia="Calibri" w:hAnsi="Arial Nova" w:cs="Arial"/>
                <w:sz w:val="18"/>
                <w:szCs w:val="18"/>
              </w:rPr>
              <w:t>NB* this may be subject to Covid restrictions.</w:t>
            </w:r>
          </w:p>
          <w:p w14:paraId="0C0B0B42" w14:textId="377E9B64" w:rsidR="00002F2F" w:rsidRPr="009809A2" w:rsidRDefault="00002F2F" w:rsidP="00530006">
            <w:pPr>
              <w:rPr>
                <w:rFonts w:ascii="Arial Nova" w:eastAsia="Calibri" w:hAnsi="Arial Nova" w:cs="Arial"/>
                <w:sz w:val="18"/>
                <w:szCs w:val="18"/>
              </w:rPr>
            </w:pPr>
          </w:p>
        </w:tc>
        <w:tc>
          <w:tcPr>
            <w:tcW w:w="18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1EBB9DF3" w14:textId="7DE8D92A" w:rsidR="00530006" w:rsidRPr="008E5A1D" w:rsidRDefault="00505138" w:rsidP="00530006">
            <w:pPr>
              <w:rPr>
                <w:rFonts w:ascii="Arial Nova" w:eastAsia="Calibri" w:hAnsi="Arial Nova" w:cs="Arial"/>
                <w:sz w:val="18"/>
                <w:szCs w:val="18"/>
              </w:rPr>
            </w:pPr>
            <w:r w:rsidRPr="008E5A1D">
              <w:rPr>
                <w:rFonts w:ascii="Arial Nova" w:eastAsia="Calibri" w:hAnsi="Arial Nova" w:cs="Arial"/>
                <w:sz w:val="18"/>
                <w:szCs w:val="18"/>
              </w:rPr>
              <w:t>Amber</w:t>
            </w:r>
          </w:p>
        </w:tc>
      </w:tr>
      <w:tr w:rsidR="00530006" w14:paraId="319164A1" w14:textId="77777777" w:rsidTr="009764C9">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08A58" w14:textId="77777777" w:rsidR="00530006" w:rsidRPr="00C91E57" w:rsidRDefault="00530006" w:rsidP="00530006">
            <w:pPr>
              <w:ind w:right="141"/>
              <w:rPr>
                <w:rFonts w:ascii="Arial Nova" w:eastAsia="Calibri" w:hAnsi="Arial Nova" w:cs="Arial"/>
                <w:b/>
                <w:bCs/>
                <w:sz w:val="18"/>
                <w:szCs w:val="18"/>
              </w:rPr>
            </w:pPr>
            <w:r w:rsidRPr="00C91E57">
              <w:rPr>
                <w:rFonts w:ascii="Arial Nova" w:eastAsia="Calibri" w:hAnsi="Arial Nova" w:cs="Arial"/>
                <w:b/>
                <w:bCs/>
                <w:sz w:val="18"/>
                <w:szCs w:val="18"/>
              </w:rPr>
              <w:t>Bid response overwhelms capacity to award within timescales required to deliver bid outcomes</w:t>
            </w:r>
          </w:p>
          <w:p w14:paraId="25699513" w14:textId="1A982BBD" w:rsidR="00530006" w:rsidRPr="00C91E57" w:rsidRDefault="00530006" w:rsidP="00530006">
            <w:pPr>
              <w:ind w:right="141"/>
              <w:rPr>
                <w:rFonts w:ascii="Arial Nova" w:eastAsia="Calibri" w:hAnsi="Arial Nova" w:cs="Arial"/>
                <w:b/>
                <w:bCs/>
                <w:sz w:val="18"/>
                <w:szCs w:val="18"/>
              </w:rPr>
            </w:pPr>
            <w:r>
              <w:rPr>
                <w:rFonts w:ascii="Arial Nova" w:eastAsia="Calibri" w:hAnsi="Arial Nova" w:cs="Arial"/>
                <w:sz w:val="18"/>
                <w:szCs w:val="18"/>
              </w:rPr>
              <w:t>A</w:t>
            </w:r>
            <w:r w:rsidRPr="009809A2">
              <w:rPr>
                <w:rFonts w:ascii="Arial Nova" w:eastAsia="Calibri" w:hAnsi="Arial Nova" w:cs="Arial"/>
                <w:sz w:val="18"/>
                <w:szCs w:val="18"/>
              </w:rPr>
              <w:t>n open procurement method</w:t>
            </w:r>
            <w:r>
              <w:rPr>
                <w:rFonts w:ascii="Arial Nova" w:eastAsia="Calibri" w:hAnsi="Arial Nova" w:cs="Arial"/>
                <w:sz w:val="18"/>
                <w:szCs w:val="18"/>
              </w:rPr>
              <w:t xml:space="preserve"> is being utilised</w:t>
            </w:r>
            <w:r w:rsidRPr="009809A2">
              <w:rPr>
                <w:rFonts w:ascii="Arial Nova" w:eastAsia="Calibri" w:hAnsi="Arial Nova" w:cs="Arial"/>
                <w:sz w:val="18"/>
                <w:szCs w:val="18"/>
              </w:rPr>
              <w:t xml:space="preserve">. </w:t>
            </w:r>
            <w:r>
              <w:rPr>
                <w:rFonts w:ascii="Arial Nova" w:eastAsia="Calibri" w:hAnsi="Arial Nova" w:cs="Arial"/>
                <w:sz w:val="18"/>
                <w:szCs w:val="18"/>
              </w:rPr>
              <w:t>There may be</w:t>
            </w:r>
            <w:r w:rsidRPr="009809A2">
              <w:rPr>
                <w:rFonts w:ascii="Arial Nova" w:eastAsia="Calibri" w:hAnsi="Arial Nova" w:cs="Arial"/>
                <w:sz w:val="18"/>
                <w:szCs w:val="18"/>
              </w:rPr>
              <w:t xml:space="preserve"> a high number of bids, which will add time required for evaluation and award</w:t>
            </w:r>
            <w:r>
              <w:rPr>
                <w:rFonts w:ascii="Arial Nova" w:eastAsia="Calibri" w:hAnsi="Arial Nova" w:cs="Arial"/>
                <w:sz w:val="18"/>
                <w:szCs w:val="18"/>
              </w:rPr>
              <w:t>.</w:t>
            </w:r>
          </w:p>
        </w:tc>
        <w:tc>
          <w:tcPr>
            <w:tcW w:w="4606" w:type="dxa"/>
            <w:tcBorders>
              <w:top w:val="single" w:sz="4" w:space="0" w:color="000000"/>
              <w:left w:val="single" w:sz="4" w:space="0" w:color="000000"/>
              <w:bottom w:val="single" w:sz="4" w:space="0" w:color="000000"/>
              <w:right w:val="single" w:sz="4" w:space="0" w:color="000000"/>
            </w:tcBorders>
            <w:vAlign w:val="center"/>
          </w:tcPr>
          <w:p w14:paraId="5E88AF06" w14:textId="638463C0" w:rsidR="00530006" w:rsidRPr="009809A2" w:rsidRDefault="00530006" w:rsidP="00530006">
            <w:pPr>
              <w:rPr>
                <w:rFonts w:ascii="Arial Nova" w:eastAsia="Calibri" w:hAnsi="Arial Nova" w:cs="Arial"/>
                <w:sz w:val="18"/>
                <w:szCs w:val="18"/>
              </w:rPr>
            </w:pPr>
            <w:r w:rsidRPr="009809A2">
              <w:rPr>
                <w:rFonts w:ascii="Arial Nova" w:eastAsia="Calibri" w:hAnsi="Arial Nova" w:cs="Arial"/>
                <w:sz w:val="18"/>
                <w:szCs w:val="18"/>
              </w:rPr>
              <w:t xml:space="preserve">The team </w:t>
            </w:r>
            <w:r w:rsidR="002D2F95">
              <w:rPr>
                <w:rFonts w:ascii="Arial Nova" w:eastAsia="Calibri" w:hAnsi="Arial Nova" w:cs="Arial"/>
                <w:sz w:val="18"/>
                <w:szCs w:val="18"/>
              </w:rPr>
              <w:t xml:space="preserve">at Ealing </w:t>
            </w:r>
            <w:r w:rsidRPr="009809A2">
              <w:rPr>
                <w:rFonts w:ascii="Arial Nova" w:eastAsia="Calibri" w:hAnsi="Arial Nova" w:cs="Arial"/>
                <w:sz w:val="18"/>
                <w:szCs w:val="18"/>
              </w:rPr>
              <w:t>will mitigate this risk by setting aside adequate time to complete evaluations and ensure partner boroughs are involved in the process.</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3CAF7111" w14:textId="76A92BAA" w:rsidR="00530006" w:rsidRPr="008E5A1D" w:rsidRDefault="00183C51" w:rsidP="00530006">
            <w:pPr>
              <w:rPr>
                <w:rFonts w:ascii="Arial Nova" w:eastAsia="Calibri" w:hAnsi="Arial Nova" w:cs="Arial"/>
                <w:sz w:val="18"/>
                <w:szCs w:val="18"/>
              </w:rPr>
            </w:pPr>
            <w:r w:rsidRPr="008E5A1D">
              <w:rPr>
                <w:rFonts w:ascii="Arial Nova" w:eastAsia="Calibri" w:hAnsi="Arial Nova" w:cs="Arial"/>
                <w:sz w:val="18"/>
                <w:szCs w:val="18"/>
              </w:rPr>
              <w:t>Green</w:t>
            </w:r>
          </w:p>
        </w:tc>
      </w:tr>
      <w:tr w:rsidR="00530006" w14:paraId="5AFDDC5D" w14:textId="77777777" w:rsidTr="00E822F0">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3B293" w14:textId="77777777" w:rsidR="00530006" w:rsidRPr="00C91E57" w:rsidRDefault="00530006" w:rsidP="00530006">
            <w:pPr>
              <w:ind w:right="141"/>
              <w:rPr>
                <w:rFonts w:ascii="Arial Nova" w:eastAsia="Calibri" w:hAnsi="Arial Nova" w:cs="Arial"/>
                <w:b/>
                <w:bCs/>
                <w:sz w:val="18"/>
                <w:szCs w:val="18"/>
              </w:rPr>
            </w:pPr>
            <w:r w:rsidRPr="00C91E57">
              <w:rPr>
                <w:rFonts w:ascii="Arial Nova" w:eastAsia="Calibri" w:hAnsi="Arial Nova" w:cs="Arial"/>
                <w:b/>
                <w:bCs/>
                <w:sz w:val="18"/>
                <w:szCs w:val="18"/>
              </w:rPr>
              <w:t>Poor performance of managing agent or their supply chain</w:t>
            </w:r>
          </w:p>
          <w:p w14:paraId="721D2713" w14:textId="3C968B04" w:rsidR="00530006" w:rsidRPr="00C91E57" w:rsidRDefault="00530006" w:rsidP="00530006">
            <w:pPr>
              <w:ind w:right="141"/>
              <w:rPr>
                <w:rFonts w:ascii="Arial Nova" w:eastAsia="Calibri" w:hAnsi="Arial Nova" w:cs="Arial"/>
                <w:b/>
                <w:bCs/>
                <w:sz w:val="18"/>
                <w:szCs w:val="18"/>
              </w:rPr>
            </w:pPr>
            <w:r w:rsidRPr="009809A2">
              <w:rPr>
                <w:rFonts w:ascii="Arial Nova" w:eastAsia="Calibri" w:hAnsi="Arial Nova" w:cs="Arial"/>
                <w:sz w:val="18"/>
                <w:szCs w:val="18"/>
              </w:rPr>
              <w:t>The chosen delivery agent and their supply chain may not perform as expected</w:t>
            </w:r>
          </w:p>
        </w:tc>
        <w:tc>
          <w:tcPr>
            <w:tcW w:w="4606" w:type="dxa"/>
            <w:tcBorders>
              <w:top w:val="single" w:sz="4" w:space="0" w:color="000000"/>
              <w:left w:val="single" w:sz="4" w:space="0" w:color="000000"/>
              <w:bottom w:val="single" w:sz="4" w:space="0" w:color="000000"/>
              <w:right w:val="single" w:sz="4" w:space="0" w:color="000000"/>
            </w:tcBorders>
            <w:vAlign w:val="center"/>
          </w:tcPr>
          <w:p w14:paraId="63710886" w14:textId="765FFB95" w:rsidR="00530006" w:rsidRPr="009809A2" w:rsidRDefault="00530006" w:rsidP="00530006">
            <w:pPr>
              <w:rPr>
                <w:rFonts w:ascii="Arial Nova" w:eastAsia="Calibri" w:hAnsi="Arial Nova" w:cs="Arial"/>
                <w:sz w:val="18"/>
                <w:szCs w:val="18"/>
              </w:rPr>
            </w:pPr>
            <w:r w:rsidRPr="009809A2">
              <w:rPr>
                <w:rFonts w:ascii="Arial Nova" w:eastAsia="Calibri" w:hAnsi="Arial Nova" w:cs="Arial"/>
                <w:sz w:val="18"/>
                <w:szCs w:val="18"/>
              </w:rPr>
              <w:t xml:space="preserve">The managing agent’s contract will include provisions to cover the </w:t>
            </w:r>
            <w:r>
              <w:rPr>
                <w:rFonts w:ascii="Arial Nova" w:eastAsia="Calibri" w:hAnsi="Arial Nova" w:cs="Arial"/>
                <w:sz w:val="18"/>
                <w:szCs w:val="18"/>
              </w:rPr>
              <w:t>C</w:t>
            </w:r>
            <w:r w:rsidRPr="009809A2">
              <w:rPr>
                <w:rFonts w:ascii="Arial Nova" w:eastAsia="Calibri" w:hAnsi="Arial Nova" w:cs="Arial"/>
                <w:sz w:val="18"/>
                <w:szCs w:val="18"/>
              </w:rPr>
              <w:t xml:space="preserve">ouncil in the event of contractor/sub-contractor poor performance. This will include cover for claims from third parties; loss or damage to works, plant, materials and equipment; loss or damage to client property; and death or injury of employees. </w:t>
            </w:r>
            <w:r>
              <w:rPr>
                <w:rFonts w:ascii="Arial Nova" w:eastAsia="Calibri" w:hAnsi="Arial Nova" w:cs="Arial"/>
                <w:sz w:val="18"/>
                <w:szCs w:val="18"/>
              </w:rPr>
              <w:t>Ealing will</w:t>
            </w:r>
            <w:r w:rsidRPr="009809A2">
              <w:rPr>
                <w:rFonts w:ascii="Arial Nova" w:eastAsia="Calibri" w:hAnsi="Arial Nova" w:cs="Arial"/>
                <w:sz w:val="18"/>
                <w:szCs w:val="18"/>
              </w:rPr>
              <w:t xml:space="preserve"> schedule regular meetings with the contract management resources as well as the broader consortium.</w:t>
            </w:r>
          </w:p>
        </w:tc>
        <w:tc>
          <w:tcPr>
            <w:tcW w:w="18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30D8F63" w14:textId="52F9077C" w:rsidR="00530006" w:rsidRPr="008E5A1D" w:rsidRDefault="00CA29A7" w:rsidP="00530006">
            <w:pPr>
              <w:rPr>
                <w:rFonts w:ascii="Arial Nova" w:eastAsia="Calibri" w:hAnsi="Arial Nova" w:cs="Arial"/>
                <w:sz w:val="18"/>
                <w:szCs w:val="18"/>
              </w:rPr>
            </w:pPr>
            <w:r w:rsidRPr="008E5A1D">
              <w:rPr>
                <w:rFonts w:ascii="Arial Nova" w:eastAsia="Calibri" w:hAnsi="Arial Nova" w:cs="Arial"/>
                <w:sz w:val="18"/>
                <w:szCs w:val="18"/>
              </w:rPr>
              <w:t>Amber</w:t>
            </w:r>
          </w:p>
          <w:p w14:paraId="2619B0CB" w14:textId="77777777" w:rsidR="003115BB" w:rsidRPr="008E5A1D" w:rsidRDefault="003115BB" w:rsidP="003115BB">
            <w:pPr>
              <w:rPr>
                <w:rFonts w:ascii="Arial Nova" w:eastAsia="Calibri" w:hAnsi="Arial Nova" w:cs="Arial"/>
                <w:sz w:val="18"/>
                <w:szCs w:val="18"/>
              </w:rPr>
            </w:pPr>
          </w:p>
          <w:p w14:paraId="13AB15E8" w14:textId="77777777" w:rsidR="003115BB" w:rsidRPr="008E5A1D" w:rsidRDefault="003115BB" w:rsidP="003115BB">
            <w:pPr>
              <w:rPr>
                <w:rFonts w:ascii="Arial Nova" w:eastAsia="Calibri" w:hAnsi="Arial Nova" w:cs="Arial"/>
                <w:sz w:val="18"/>
                <w:szCs w:val="18"/>
              </w:rPr>
            </w:pPr>
          </w:p>
          <w:p w14:paraId="0260EA01" w14:textId="42A01DFC" w:rsidR="003115BB" w:rsidRPr="008E5A1D" w:rsidRDefault="003115BB" w:rsidP="008E5A1D">
            <w:pPr>
              <w:jc w:val="center"/>
              <w:rPr>
                <w:rFonts w:ascii="Arial Nova" w:eastAsia="Calibri" w:hAnsi="Arial Nova" w:cs="Arial"/>
                <w:sz w:val="18"/>
                <w:szCs w:val="18"/>
              </w:rPr>
            </w:pPr>
          </w:p>
        </w:tc>
      </w:tr>
      <w:tr w:rsidR="00C2090A" w14:paraId="509FCE73" w14:textId="77777777" w:rsidTr="009764C9">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9F1ED" w14:textId="77777777" w:rsidR="0077512E" w:rsidRPr="00E822F0" w:rsidRDefault="002A7891" w:rsidP="00E06C7F">
            <w:pPr>
              <w:ind w:right="141"/>
              <w:rPr>
                <w:rFonts w:ascii="Arial Nova" w:eastAsia="Calibri" w:hAnsi="Arial Nova" w:cs="Arial"/>
                <w:b/>
                <w:bCs/>
                <w:sz w:val="18"/>
                <w:szCs w:val="18"/>
              </w:rPr>
            </w:pPr>
            <w:r w:rsidRPr="0077512E">
              <w:rPr>
                <w:rFonts w:ascii="Arial Nova" w:eastAsia="Calibri" w:hAnsi="Arial Nova" w:cs="Arial"/>
                <w:b/>
                <w:bCs/>
                <w:sz w:val="18"/>
                <w:szCs w:val="18"/>
              </w:rPr>
              <w:t>Poor management</w:t>
            </w:r>
            <w:r w:rsidRPr="00E822F0">
              <w:rPr>
                <w:rFonts w:ascii="Arial Nova" w:eastAsia="Calibri" w:hAnsi="Arial Nova" w:cs="Arial"/>
                <w:b/>
                <w:bCs/>
                <w:sz w:val="18"/>
                <w:szCs w:val="18"/>
              </w:rPr>
              <w:t xml:space="preserve"> by lead Borough</w:t>
            </w:r>
          </w:p>
          <w:p w14:paraId="301B2CA1" w14:textId="45DFF01D" w:rsidR="00C2090A" w:rsidRDefault="003A665B" w:rsidP="00E06C7F">
            <w:pPr>
              <w:ind w:right="141"/>
              <w:rPr>
                <w:rFonts w:ascii="Arial Nova" w:eastAsia="Calibri" w:hAnsi="Arial Nova" w:cs="Arial"/>
                <w:sz w:val="18"/>
                <w:szCs w:val="18"/>
              </w:rPr>
            </w:pPr>
            <w:r>
              <w:rPr>
                <w:rFonts w:ascii="Arial Nova" w:eastAsia="Calibri" w:hAnsi="Arial Nova" w:cs="Arial"/>
                <w:sz w:val="18"/>
                <w:szCs w:val="18"/>
              </w:rPr>
              <w:t>The lead may overcharge</w:t>
            </w:r>
            <w:r w:rsidR="00655DFC">
              <w:rPr>
                <w:rFonts w:ascii="Arial Nova" w:eastAsia="Calibri" w:hAnsi="Arial Nova" w:cs="Arial"/>
                <w:sz w:val="18"/>
                <w:szCs w:val="18"/>
              </w:rPr>
              <w:t xml:space="preserve">, </w:t>
            </w:r>
            <w:r w:rsidR="00341DA4">
              <w:rPr>
                <w:rFonts w:ascii="Arial Nova" w:eastAsia="Calibri" w:hAnsi="Arial Nova" w:cs="Arial"/>
                <w:sz w:val="18"/>
                <w:szCs w:val="18"/>
              </w:rPr>
              <w:t>may have poor data handling or project management.</w:t>
            </w:r>
          </w:p>
          <w:p w14:paraId="5637CD34" w14:textId="3A537E25" w:rsidR="0077512E" w:rsidRPr="00E822F0" w:rsidRDefault="0077512E" w:rsidP="00E06C7F">
            <w:pPr>
              <w:ind w:right="141"/>
              <w:rPr>
                <w:rFonts w:ascii="Arial Nova" w:eastAsia="Calibri" w:hAnsi="Arial Nova" w:cs="Arial"/>
                <w:sz w:val="18"/>
                <w:szCs w:val="18"/>
              </w:rPr>
            </w:pPr>
          </w:p>
        </w:tc>
        <w:tc>
          <w:tcPr>
            <w:tcW w:w="4606" w:type="dxa"/>
            <w:tcBorders>
              <w:top w:val="single" w:sz="4" w:space="0" w:color="000000"/>
              <w:left w:val="single" w:sz="4" w:space="0" w:color="000000"/>
              <w:bottom w:val="single" w:sz="4" w:space="0" w:color="000000"/>
              <w:right w:val="single" w:sz="4" w:space="0" w:color="000000"/>
            </w:tcBorders>
            <w:vAlign w:val="center"/>
          </w:tcPr>
          <w:p w14:paraId="35C82154" w14:textId="79243E1A" w:rsidR="00C2090A" w:rsidRPr="009809A2" w:rsidRDefault="00341DA4" w:rsidP="00E06C7F">
            <w:pPr>
              <w:rPr>
                <w:rFonts w:ascii="Arial Nova" w:eastAsia="Calibri" w:hAnsi="Arial Nova" w:cs="Arial"/>
                <w:sz w:val="18"/>
                <w:szCs w:val="18"/>
              </w:rPr>
            </w:pPr>
            <w:r>
              <w:rPr>
                <w:rFonts w:ascii="Arial Nova" w:eastAsia="Calibri" w:hAnsi="Arial Nova" w:cs="Arial"/>
                <w:sz w:val="18"/>
                <w:szCs w:val="18"/>
              </w:rPr>
              <w:t>The interborough agree</w:t>
            </w:r>
            <w:r w:rsidR="00356009">
              <w:rPr>
                <w:rFonts w:ascii="Arial Nova" w:eastAsia="Calibri" w:hAnsi="Arial Nova" w:cs="Arial"/>
                <w:sz w:val="18"/>
                <w:szCs w:val="18"/>
              </w:rPr>
              <w:t>ment</w:t>
            </w:r>
            <w:r w:rsidR="00B63778">
              <w:rPr>
                <w:rFonts w:ascii="Arial Nova" w:eastAsia="Calibri" w:hAnsi="Arial Nova" w:cs="Arial"/>
                <w:sz w:val="18"/>
                <w:szCs w:val="18"/>
              </w:rPr>
              <w:t xml:space="preserve"> sets out </w:t>
            </w:r>
            <w:r w:rsidR="002A56DB">
              <w:rPr>
                <w:rFonts w:ascii="Arial Nova" w:eastAsia="Calibri" w:hAnsi="Arial Nova" w:cs="Arial"/>
                <w:sz w:val="18"/>
                <w:szCs w:val="18"/>
              </w:rPr>
              <w:t>the relationship be</w:t>
            </w:r>
            <w:r w:rsidR="00E92A22">
              <w:rPr>
                <w:rFonts w:ascii="Arial Nova" w:eastAsia="Calibri" w:hAnsi="Arial Nova" w:cs="Arial"/>
                <w:sz w:val="18"/>
                <w:szCs w:val="18"/>
              </w:rPr>
              <w:t>t</w:t>
            </w:r>
            <w:r w:rsidR="002A56DB">
              <w:rPr>
                <w:rFonts w:ascii="Arial Nova" w:eastAsia="Calibri" w:hAnsi="Arial Nova" w:cs="Arial"/>
                <w:sz w:val="18"/>
                <w:szCs w:val="18"/>
              </w:rPr>
              <w:t>ween the lead borough and the participating boroughs</w:t>
            </w:r>
            <w:r w:rsidR="00E92A22">
              <w:rPr>
                <w:rFonts w:ascii="Arial Nova" w:eastAsia="Calibri" w:hAnsi="Arial Nova" w:cs="Arial"/>
                <w:sz w:val="18"/>
                <w:szCs w:val="18"/>
              </w:rPr>
              <w:t xml:space="preserve">.  This is further mitigated by bi-weekly Programme Board Meetings, </w:t>
            </w:r>
            <w:r w:rsidR="006F052E">
              <w:rPr>
                <w:rFonts w:ascii="Arial Nova" w:eastAsia="Calibri" w:hAnsi="Arial Nova" w:cs="Arial"/>
                <w:sz w:val="18"/>
                <w:szCs w:val="18"/>
              </w:rPr>
              <w:t xml:space="preserve">access to the lead boroughs </w:t>
            </w:r>
            <w:r w:rsidR="00CD233F">
              <w:rPr>
                <w:rFonts w:ascii="Arial Nova" w:eastAsia="Calibri" w:hAnsi="Arial Nova" w:cs="Arial"/>
                <w:sz w:val="18"/>
                <w:szCs w:val="18"/>
              </w:rPr>
              <w:t>SharePoint</w:t>
            </w:r>
            <w:r w:rsidR="006F052E">
              <w:rPr>
                <w:rFonts w:ascii="Arial Nova" w:eastAsia="Calibri" w:hAnsi="Arial Nova" w:cs="Arial"/>
                <w:sz w:val="18"/>
                <w:szCs w:val="18"/>
              </w:rPr>
              <w:t xml:space="preserve"> sites etc…</w:t>
            </w:r>
            <w:r w:rsidR="00E822F0">
              <w:rPr>
                <w:rFonts w:ascii="Arial Nova" w:eastAsia="Calibri" w:hAnsi="Arial Nova" w:cs="Arial"/>
                <w:sz w:val="18"/>
                <w:szCs w:val="18"/>
              </w:rPr>
              <w:t>.</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59B35A66" w14:textId="48F24240" w:rsidR="00C2090A" w:rsidRPr="008E5A1D" w:rsidRDefault="00E822F0" w:rsidP="00E06C7F">
            <w:pPr>
              <w:rPr>
                <w:rFonts w:ascii="Arial Nova" w:eastAsia="Calibri" w:hAnsi="Arial Nova" w:cs="Arial"/>
                <w:sz w:val="18"/>
                <w:szCs w:val="18"/>
              </w:rPr>
            </w:pPr>
            <w:r>
              <w:rPr>
                <w:rFonts w:ascii="Arial Nova" w:eastAsia="Calibri" w:hAnsi="Arial Nova" w:cs="Arial"/>
                <w:sz w:val="18"/>
                <w:szCs w:val="18"/>
              </w:rPr>
              <w:t>Green</w:t>
            </w:r>
          </w:p>
        </w:tc>
      </w:tr>
      <w:tr w:rsidR="009764C9" w14:paraId="1A360523" w14:textId="77777777" w:rsidTr="009764C9">
        <w:trPr>
          <w:trHeight w:val="1516"/>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70BD1" w14:textId="77777777" w:rsidR="009764C9" w:rsidRPr="00C91E57" w:rsidRDefault="009764C9" w:rsidP="00E06C7F">
            <w:pPr>
              <w:ind w:right="141"/>
              <w:rPr>
                <w:rFonts w:ascii="Arial Nova" w:hAnsi="Arial Nova"/>
                <w:b/>
                <w:bCs/>
                <w:sz w:val="18"/>
                <w:szCs w:val="18"/>
              </w:rPr>
            </w:pPr>
            <w:r w:rsidRPr="00C91E57">
              <w:rPr>
                <w:rFonts w:ascii="Arial Nova" w:eastAsia="Calibri" w:hAnsi="Arial Nova" w:cs="Arial"/>
                <w:b/>
                <w:bCs/>
                <w:sz w:val="18"/>
                <w:szCs w:val="18"/>
              </w:rPr>
              <w:t>Fraudulent claims made for installations</w:t>
            </w:r>
            <w:r w:rsidRPr="00C91E57">
              <w:rPr>
                <w:rFonts w:ascii="Arial Nova" w:hAnsi="Arial Nova"/>
                <w:b/>
                <w:bCs/>
                <w:sz w:val="18"/>
                <w:szCs w:val="18"/>
              </w:rPr>
              <w:t xml:space="preserve"> </w:t>
            </w:r>
          </w:p>
          <w:p w14:paraId="006D1557" w14:textId="5EE916C5" w:rsidR="009764C9" w:rsidRPr="009809A2" w:rsidRDefault="009764C9" w:rsidP="00E06C7F">
            <w:pPr>
              <w:ind w:right="141"/>
              <w:rPr>
                <w:rFonts w:ascii="Arial Nova" w:eastAsia="Calibri" w:hAnsi="Arial Nova" w:cs="Arial"/>
                <w:sz w:val="18"/>
                <w:szCs w:val="18"/>
              </w:rPr>
            </w:pPr>
            <w:r w:rsidRPr="009809A2">
              <w:rPr>
                <w:rFonts w:ascii="Arial Nova" w:eastAsia="Calibri" w:hAnsi="Arial Nova" w:cs="Arial"/>
                <w:sz w:val="18"/>
                <w:szCs w:val="18"/>
              </w:rPr>
              <w:t>The delivery agent may attempt to make claims for works that haven’t happened, haven’t been completed, or that took place prior to launch date of the scheme</w:t>
            </w:r>
            <w:r w:rsidR="00A00818">
              <w:rPr>
                <w:rFonts w:ascii="Arial Nova" w:eastAsia="Calibri" w:hAnsi="Arial Nova" w:cs="Arial"/>
                <w:sz w:val="18"/>
                <w:szCs w:val="18"/>
              </w:rPr>
              <w:t xml:space="preserve"> or grant not used as intended</w:t>
            </w:r>
          </w:p>
        </w:tc>
        <w:tc>
          <w:tcPr>
            <w:tcW w:w="4606" w:type="dxa"/>
            <w:tcBorders>
              <w:top w:val="single" w:sz="4" w:space="0" w:color="000000"/>
              <w:left w:val="single" w:sz="4" w:space="0" w:color="000000"/>
              <w:bottom w:val="single" w:sz="4" w:space="0" w:color="000000"/>
              <w:right w:val="single" w:sz="4" w:space="0" w:color="000000"/>
            </w:tcBorders>
            <w:vAlign w:val="center"/>
          </w:tcPr>
          <w:p w14:paraId="73D857DC" w14:textId="68F3B156" w:rsidR="009764C9" w:rsidRPr="009809A2" w:rsidRDefault="009764C9" w:rsidP="00E06C7F">
            <w:pPr>
              <w:rPr>
                <w:rFonts w:ascii="Arial Nova" w:eastAsia="Calibri" w:hAnsi="Arial Nova" w:cs="Arial"/>
                <w:sz w:val="18"/>
                <w:szCs w:val="18"/>
              </w:rPr>
            </w:pPr>
            <w:r w:rsidRPr="009809A2">
              <w:rPr>
                <w:rFonts w:ascii="Arial Nova" w:eastAsia="Calibri" w:hAnsi="Arial Nova" w:cs="Arial"/>
                <w:sz w:val="18"/>
                <w:szCs w:val="18"/>
              </w:rPr>
              <w:t>The invitation to tender and the terms and conditions of the managing agent’s contract will include clear and consistent information regarding eligibility, data collection and compliance. Regular paperwork checks by both the lead authority and partners will ensure any works put forward for funding include auditable documentation to establish compliance</w:t>
            </w:r>
            <w:r w:rsidR="002D2F95">
              <w:rPr>
                <w:rFonts w:ascii="Arial Nova" w:eastAsia="Calibri" w:hAnsi="Arial Nova" w:cs="Arial"/>
                <w:sz w:val="18"/>
                <w:szCs w:val="18"/>
              </w:rPr>
              <w:t>.</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6202A30D" w14:textId="087B60D1" w:rsidR="009764C9" w:rsidRPr="008E5A1D" w:rsidRDefault="00BC431D" w:rsidP="00E06C7F">
            <w:pPr>
              <w:rPr>
                <w:rFonts w:ascii="Arial Nova" w:eastAsia="Calibri" w:hAnsi="Arial Nova" w:cs="Arial"/>
                <w:sz w:val="18"/>
                <w:szCs w:val="18"/>
              </w:rPr>
            </w:pPr>
            <w:r w:rsidRPr="008E5A1D">
              <w:rPr>
                <w:rFonts w:ascii="Arial Nova" w:eastAsia="Calibri" w:hAnsi="Arial Nova" w:cs="Arial"/>
                <w:sz w:val="18"/>
                <w:szCs w:val="18"/>
              </w:rPr>
              <w:t>Green</w:t>
            </w:r>
          </w:p>
        </w:tc>
      </w:tr>
      <w:tr w:rsidR="009764C9" w14:paraId="2D7A53B7" w14:textId="77777777" w:rsidTr="009764C9">
        <w:trPr>
          <w:trHeight w:val="862"/>
        </w:trPr>
        <w:tc>
          <w:tcPr>
            <w:tcW w:w="2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FDA45" w14:textId="77777777" w:rsidR="009764C9" w:rsidRPr="00C91E57" w:rsidRDefault="009764C9" w:rsidP="00E06C7F">
            <w:pPr>
              <w:ind w:right="141"/>
              <w:rPr>
                <w:rFonts w:ascii="Arial Nova" w:eastAsia="Calibri" w:hAnsi="Arial Nova" w:cs="Arial"/>
                <w:b/>
                <w:bCs/>
                <w:sz w:val="18"/>
                <w:szCs w:val="18"/>
              </w:rPr>
            </w:pPr>
            <w:r w:rsidRPr="00C91E57">
              <w:rPr>
                <w:rFonts w:ascii="Arial Nova" w:eastAsia="Calibri" w:hAnsi="Arial Nova" w:cs="Arial"/>
                <w:b/>
                <w:bCs/>
                <w:sz w:val="18"/>
                <w:szCs w:val="18"/>
              </w:rPr>
              <w:lastRenderedPageBreak/>
              <w:t>Fraudulent conduct -grant beneficiary</w:t>
            </w:r>
          </w:p>
          <w:p w14:paraId="4F1558A4" w14:textId="6714A0F4" w:rsidR="009764C9" w:rsidRPr="009809A2" w:rsidRDefault="009764C9" w:rsidP="00E06C7F">
            <w:pPr>
              <w:ind w:right="141"/>
              <w:rPr>
                <w:rFonts w:ascii="Arial Nova" w:eastAsia="Calibri" w:hAnsi="Arial Nova" w:cs="Arial"/>
                <w:sz w:val="18"/>
                <w:szCs w:val="18"/>
              </w:rPr>
            </w:pPr>
            <w:r w:rsidRPr="009809A2">
              <w:rPr>
                <w:rFonts w:ascii="Arial Nova" w:eastAsia="Calibri" w:hAnsi="Arial Nova" w:cs="Arial"/>
                <w:sz w:val="18"/>
                <w:szCs w:val="18"/>
              </w:rPr>
              <w:t>A household in receipt of grant carries out identity theft or falsely claims low-income status</w:t>
            </w:r>
            <w:r w:rsidR="008414E4">
              <w:rPr>
                <w:rFonts w:ascii="Arial Nova" w:eastAsia="Calibri" w:hAnsi="Arial Nova" w:cs="Arial"/>
                <w:sz w:val="18"/>
                <w:szCs w:val="18"/>
              </w:rPr>
              <w:t xml:space="preserve"> </w:t>
            </w:r>
          </w:p>
        </w:tc>
        <w:tc>
          <w:tcPr>
            <w:tcW w:w="4606" w:type="dxa"/>
            <w:tcBorders>
              <w:top w:val="single" w:sz="4" w:space="0" w:color="000000"/>
              <w:left w:val="single" w:sz="4" w:space="0" w:color="000000"/>
              <w:bottom w:val="single" w:sz="4" w:space="0" w:color="000000"/>
              <w:right w:val="single" w:sz="4" w:space="0" w:color="000000"/>
            </w:tcBorders>
            <w:vAlign w:val="center"/>
          </w:tcPr>
          <w:p w14:paraId="00F661AD" w14:textId="01980273" w:rsidR="009764C9" w:rsidRPr="009809A2" w:rsidRDefault="009764C9" w:rsidP="00E06C7F">
            <w:pPr>
              <w:rPr>
                <w:rFonts w:ascii="Arial Nova" w:eastAsia="Calibri" w:hAnsi="Arial Nova" w:cs="Arial"/>
                <w:sz w:val="18"/>
                <w:szCs w:val="18"/>
              </w:rPr>
            </w:pPr>
            <w:r w:rsidRPr="009809A2">
              <w:rPr>
                <w:rFonts w:ascii="Arial Nova" w:eastAsia="Calibri" w:hAnsi="Arial Nova" w:cs="Arial"/>
                <w:sz w:val="18"/>
                <w:szCs w:val="18"/>
              </w:rPr>
              <w:t>Ensure a grant agreement, which confirms identity has not be misrepresented, has been signed by the homeowner before scheduling works.</w:t>
            </w:r>
            <w:r w:rsidR="00781189">
              <w:rPr>
                <w:rFonts w:ascii="Arial Nova" w:eastAsia="Calibri" w:hAnsi="Arial Nova" w:cs="Arial"/>
                <w:sz w:val="18"/>
                <w:szCs w:val="18"/>
              </w:rPr>
              <w:t xml:space="preserve"> </w:t>
            </w:r>
            <w:r w:rsidR="00E80528">
              <w:rPr>
                <w:rFonts w:ascii="Arial Nova" w:eastAsia="Calibri" w:hAnsi="Arial Nova" w:cs="Arial"/>
                <w:sz w:val="18"/>
                <w:szCs w:val="18"/>
              </w:rPr>
              <w:t xml:space="preserve">Final approval </w:t>
            </w:r>
            <w:r w:rsidR="0088406B">
              <w:rPr>
                <w:rFonts w:ascii="Arial Nova" w:eastAsia="Calibri" w:hAnsi="Arial Nova" w:cs="Arial"/>
                <w:sz w:val="18"/>
                <w:szCs w:val="18"/>
              </w:rPr>
              <w:t xml:space="preserve">is not given until all checks on grant conditions </w:t>
            </w:r>
            <w:r w:rsidR="00D51CE0">
              <w:rPr>
                <w:rFonts w:ascii="Arial Nova" w:eastAsia="Calibri" w:hAnsi="Arial Nova" w:cs="Arial"/>
                <w:sz w:val="18"/>
                <w:szCs w:val="18"/>
              </w:rPr>
              <w:t xml:space="preserve">such as </w:t>
            </w:r>
            <w:r w:rsidR="00600972">
              <w:rPr>
                <w:rFonts w:ascii="Arial Nova" w:eastAsia="Calibri" w:hAnsi="Arial Nova" w:cs="Arial"/>
                <w:sz w:val="18"/>
                <w:szCs w:val="18"/>
              </w:rPr>
              <w:t xml:space="preserve">income and EPC ratings </w:t>
            </w:r>
            <w:r w:rsidR="0088406B">
              <w:rPr>
                <w:rFonts w:ascii="Arial Nova" w:eastAsia="Calibri" w:hAnsi="Arial Nova" w:cs="Arial"/>
                <w:sz w:val="18"/>
                <w:szCs w:val="18"/>
              </w:rPr>
              <w:t>have been carried out</w:t>
            </w:r>
            <w:r w:rsidR="00600972">
              <w:rPr>
                <w:rFonts w:ascii="Arial Nova" w:eastAsia="Calibri" w:hAnsi="Arial Nova" w:cs="Arial"/>
                <w:sz w:val="18"/>
                <w:szCs w:val="18"/>
              </w:rPr>
              <w:t xml:space="preserve"> by </w:t>
            </w:r>
            <w:r w:rsidR="00F8110B">
              <w:rPr>
                <w:rFonts w:ascii="Arial Nova" w:eastAsia="Calibri" w:hAnsi="Arial Nova" w:cs="Arial"/>
                <w:sz w:val="18"/>
                <w:szCs w:val="18"/>
              </w:rPr>
              <w:t>Ealing</w:t>
            </w:r>
            <w:r w:rsidR="00D51CE0">
              <w:rPr>
                <w:rFonts w:ascii="Arial Nova" w:eastAsia="Calibri" w:hAnsi="Arial Nova" w:cs="Arial"/>
                <w:sz w:val="18"/>
                <w:szCs w:val="18"/>
              </w:rPr>
              <w:t>.</w:t>
            </w:r>
          </w:p>
        </w:tc>
        <w:tc>
          <w:tcPr>
            <w:tcW w:w="18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070DD203" w14:textId="77777777" w:rsidR="009764C9" w:rsidRPr="008E5A1D" w:rsidRDefault="009764C9" w:rsidP="00E06C7F">
            <w:pPr>
              <w:rPr>
                <w:rFonts w:ascii="Arial Nova" w:eastAsia="Calibri" w:hAnsi="Arial Nova" w:cs="Arial"/>
                <w:sz w:val="18"/>
                <w:szCs w:val="18"/>
              </w:rPr>
            </w:pPr>
          </w:p>
          <w:p w14:paraId="383E7E5B" w14:textId="003DE7A7" w:rsidR="009764C9" w:rsidRPr="008E5A1D" w:rsidRDefault="00BC431D" w:rsidP="00E06C7F">
            <w:pPr>
              <w:rPr>
                <w:rFonts w:ascii="Arial Nova" w:eastAsia="Calibri" w:hAnsi="Arial Nova" w:cs="Arial"/>
                <w:sz w:val="18"/>
                <w:szCs w:val="18"/>
              </w:rPr>
            </w:pPr>
            <w:r w:rsidRPr="008E5A1D">
              <w:rPr>
                <w:rFonts w:ascii="Arial Nova" w:eastAsia="Calibri" w:hAnsi="Arial Nova" w:cs="Arial"/>
                <w:sz w:val="18"/>
                <w:szCs w:val="18"/>
              </w:rPr>
              <w:t>Green</w:t>
            </w:r>
          </w:p>
          <w:p w14:paraId="5082300D" w14:textId="61ECAE35" w:rsidR="009764C9" w:rsidRPr="008E5A1D" w:rsidRDefault="009764C9" w:rsidP="00E06C7F">
            <w:pPr>
              <w:ind w:right="141"/>
              <w:rPr>
                <w:rFonts w:cs="Arial"/>
                <w:szCs w:val="24"/>
                <w:lang w:val="en-US" w:eastAsia="en-GB"/>
              </w:rPr>
            </w:pPr>
          </w:p>
        </w:tc>
      </w:tr>
    </w:tbl>
    <w:p w14:paraId="50C1B44B" w14:textId="77777777" w:rsidR="009764C9" w:rsidRDefault="009764C9" w:rsidP="009764C9">
      <w:pPr>
        <w:pStyle w:val="BodyTextIndent"/>
        <w:spacing w:after="0"/>
        <w:ind w:left="720"/>
      </w:pPr>
    </w:p>
    <w:p w14:paraId="3D55E482" w14:textId="3F593503" w:rsidR="00C616FF" w:rsidRPr="001B516E" w:rsidRDefault="001472A8" w:rsidP="000A4F21">
      <w:pPr>
        <w:ind w:left="720"/>
        <w:rPr>
          <w:b/>
        </w:rPr>
      </w:pPr>
      <w:r w:rsidRPr="001B516E">
        <w:rPr>
          <w:b/>
        </w:rPr>
        <w:t xml:space="preserve">Note:  Risk implications must be signed off by </w:t>
      </w:r>
      <w:r w:rsidR="00C616FF" w:rsidRPr="001B516E">
        <w:rPr>
          <w:b/>
        </w:rPr>
        <w:t>Head of Internal Audit Susan Dixson/Risk Manager – Neale Burns</w:t>
      </w:r>
    </w:p>
    <w:p w14:paraId="0249BBDB" w14:textId="2AE135C8" w:rsidR="002A3FEF" w:rsidRDefault="00E52D42" w:rsidP="00A1211C">
      <w:pPr>
        <w:pStyle w:val="Heading3"/>
        <w:spacing w:before="480" w:after="240"/>
      </w:pPr>
      <w:r>
        <w:t>13.</w:t>
      </w:r>
      <w:r w:rsidR="00FE68AE">
        <w:tab/>
      </w:r>
      <w:r w:rsidR="002A3FEF">
        <w:t xml:space="preserve">Procurement Implications </w:t>
      </w:r>
    </w:p>
    <w:p w14:paraId="41028BA2" w14:textId="7A56FE77" w:rsidR="00B963EC" w:rsidRPr="00B963EC" w:rsidRDefault="00FE68AE" w:rsidP="00B963EC">
      <w:pPr>
        <w:spacing w:after="120"/>
        <w:ind w:left="720" w:hanging="720"/>
        <w:jc w:val="both"/>
        <w:rPr>
          <w:rFonts w:cs="Arial"/>
          <w:bCs/>
          <w:color w:val="000000" w:themeColor="text1"/>
          <w:szCs w:val="24"/>
        </w:rPr>
      </w:pPr>
      <w:proofErr w:type="gramStart"/>
      <w:r>
        <w:t>13.1</w:t>
      </w:r>
      <w:r>
        <w:tab/>
      </w:r>
      <w:r w:rsidR="00CC261B">
        <w:t>Ealing Council</w:t>
      </w:r>
      <w:r w:rsidR="004E02CD">
        <w:t>,</w:t>
      </w:r>
      <w:proofErr w:type="gramEnd"/>
      <w:r w:rsidR="00CC261B">
        <w:t xml:space="preserve"> </w:t>
      </w:r>
      <w:r w:rsidR="00D85F83">
        <w:t>were the lead authority and have completed a compliant procurement process in accordance with the Public Contract Regulations 2015 to secure a delivery partner</w:t>
      </w:r>
      <w:r w:rsidR="004E02CD">
        <w:t xml:space="preserve"> and programme manager for </w:t>
      </w:r>
      <w:r w:rsidR="00587EFA">
        <w:t>both Phase</w:t>
      </w:r>
      <w:r w:rsidR="00D85F83">
        <w:t xml:space="preserve"> 1 and 2. </w:t>
      </w:r>
    </w:p>
    <w:p w14:paraId="78992CB0" w14:textId="19B38F49" w:rsidR="005D41FF" w:rsidRDefault="005D41FF" w:rsidP="00B963EC">
      <w:pPr>
        <w:ind w:left="720" w:hanging="720"/>
      </w:pPr>
    </w:p>
    <w:p w14:paraId="5D64A1BD" w14:textId="61FC50AA" w:rsidR="005D41FF" w:rsidRPr="005D41FF" w:rsidRDefault="005D41FF" w:rsidP="00FE68AE">
      <w:pPr>
        <w:ind w:firstLine="720"/>
        <w:rPr>
          <w:b/>
          <w:bCs/>
        </w:rPr>
      </w:pPr>
      <w:r w:rsidRPr="005D41FF">
        <w:rPr>
          <w:b/>
          <w:bCs/>
        </w:rPr>
        <w:t>Managing agents and EP</w:t>
      </w:r>
      <w:r w:rsidR="005D009F">
        <w:rPr>
          <w:b/>
          <w:bCs/>
        </w:rPr>
        <w:t>C</w:t>
      </w:r>
      <w:r w:rsidRPr="005D41FF">
        <w:rPr>
          <w:b/>
          <w:bCs/>
        </w:rPr>
        <w:t>s</w:t>
      </w:r>
    </w:p>
    <w:p w14:paraId="7AE928AE" w14:textId="7EC01906" w:rsidR="00E51002" w:rsidRDefault="006879CC" w:rsidP="006879CC">
      <w:pPr>
        <w:ind w:left="720" w:hanging="720"/>
      </w:pPr>
      <w:r>
        <w:t>13.2</w:t>
      </w:r>
      <w:r>
        <w:tab/>
      </w:r>
      <w:r w:rsidR="00CE436B" w:rsidRPr="00CE436B">
        <w:t xml:space="preserve">A managing agent </w:t>
      </w:r>
      <w:r w:rsidR="006A3FA5">
        <w:t>has been</w:t>
      </w:r>
      <w:r w:rsidR="00CE436B" w:rsidRPr="00CE436B">
        <w:t xml:space="preserve"> appointed who will undertake EPCs on properties and arrange and have responsibility for the works completed at the eligible homes. The managing agent will either deliver the Works themselves or through their supply chain. </w:t>
      </w:r>
    </w:p>
    <w:p w14:paraId="1C15B5EF" w14:textId="77777777" w:rsidR="00E52D42" w:rsidRDefault="00E52D42" w:rsidP="00AD1E77"/>
    <w:p w14:paraId="7D3242A2" w14:textId="3D008193" w:rsidR="00DA7A27" w:rsidRDefault="00CE436B" w:rsidP="006879CC">
      <w:pPr>
        <w:ind w:left="720"/>
      </w:pPr>
      <w:r w:rsidRPr="00CE436B">
        <w:t xml:space="preserve">Where the managing agent uses a supply chain, </w:t>
      </w:r>
      <w:r w:rsidR="00B32DE9">
        <w:t xml:space="preserve">and </w:t>
      </w:r>
      <w:r w:rsidRPr="00CE436B">
        <w:t xml:space="preserve">they will be encouraged to use local SMEs to undertake the Works in each Borough (provided they hold the </w:t>
      </w:r>
      <w:proofErr w:type="spellStart"/>
      <w:r w:rsidRPr="00CE436B">
        <w:t>TrustMark</w:t>
      </w:r>
      <w:proofErr w:type="spellEnd"/>
      <w:r w:rsidRPr="00CE436B">
        <w:t xml:space="preserve">/MCS certification). </w:t>
      </w:r>
    </w:p>
    <w:p w14:paraId="724F6E19" w14:textId="77777777" w:rsidR="007A4B48" w:rsidRDefault="007A4B48" w:rsidP="00EE5EA9">
      <w:pPr>
        <w:rPr>
          <w:rFonts w:cs="Arial"/>
          <w:b/>
          <w:bCs/>
        </w:rPr>
      </w:pPr>
    </w:p>
    <w:p w14:paraId="3E893C77" w14:textId="0BEBDB79" w:rsidR="00EE5EA9" w:rsidRPr="00CF0C4B" w:rsidRDefault="00EE5EA9" w:rsidP="006879CC">
      <w:pPr>
        <w:ind w:firstLine="720"/>
        <w:rPr>
          <w:rFonts w:cs="Arial"/>
          <w:b/>
          <w:bCs/>
        </w:rPr>
      </w:pPr>
      <w:r w:rsidRPr="00CF0C4B">
        <w:rPr>
          <w:rFonts w:cs="Arial"/>
          <w:b/>
          <w:bCs/>
        </w:rPr>
        <w:t xml:space="preserve">Value </w:t>
      </w:r>
      <w:proofErr w:type="gramStart"/>
      <w:r w:rsidRPr="00CF0C4B">
        <w:rPr>
          <w:rFonts w:cs="Arial"/>
          <w:b/>
          <w:bCs/>
        </w:rPr>
        <w:t>For</w:t>
      </w:r>
      <w:proofErr w:type="gramEnd"/>
      <w:r w:rsidRPr="00CF0C4B">
        <w:rPr>
          <w:rFonts w:cs="Arial"/>
          <w:b/>
          <w:bCs/>
        </w:rPr>
        <w:t xml:space="preserve"> Money</w:t>
      </w:r>
    </w:p>
    <w:p w14:paraId="31E168CA" w14:textId="3AB72AD6" w:rsidR="00EE5EA9" w:rsidRPr="00CF0C4B" w:rsidRDefault="006879CC" w:rsidP="006879CC">
      <w:pPr>
        <w:ind w:left="720" w:hanging="720"/>
        <w:rPr>
          <w:rFonts w:cs="Arial"/>
        </w:rPr>
      </w:pPr>
      <w:r>
        <w:rPr>
          <w:rFonts w:cs="Arial"/>
        </w:rPr>
        <w:t>13.3</w:t>
      </w:r>
      <w:r>
        <w:rPr>
          <w:rFonts w:cs="Arial"/>
        </w:rPr>
        <w:tab/>
      </w:r>
      <w:r w:rsidR="00EE5EA9" w:rsidRPr="00CF0C4B">
        <w:rPr>
          <w:rFonts w:cs="Arial"/>
        </w:rPr>
        <w:t xml:space="preserve">The grant application proposes a competitive tender process for a delivery agent to manage the programme on behalf of the seven </w:t>
      </w:r>
      <w:r w:rsidR="00AD53BC">
        <w:rPr>
          <w:rFonts w:cs="Arial"/>
        </w:rPr>
        <w:t>Borough</w:t>
      </w:r>
      <w:r w:rsidR="00EE5EA9" w:rsidRPr="00CF0C4B">
        <w:rPr>
          <w:rFonts w:cs="Arial"/>
        </w:rPr>
        <w:t xml:space="preserve">s. The tender will call for costs related to the management of the programme and guaranteed maximum pricing for specific energy efficiency measures. These will be compared across bidders on a like for like basis, with award based on a mix of quality and cost. </w:t>
      </w:r>
    </w:p>
    <w:p w14:paraId="2F7DD2C5" w14:textId="77777777" w:rsidR="00EE5EA9" w:rsidRDefault="00EE5EA9" w:rsidP="00EE5EA9"/>
    <w:p w14:paraId="090B8AB0" w14:textId="766D1044" w:rsidR="00EE5EA9" w:rsidRDefault="006879CC" w:rsidP="006879CC">
      <w:pPr>
        <w:ind w:left="720" w:hanging="720"/>
      </w:pPr>
      <w:r>
        <w:t>13.4</w:t>
      </w:r>
      <w:r>
        <w:tab/>
      </w:r>
      <w:r w:rsidR="00EE5EA9">
        <w:t>The tender also seek</w:t>
      </w:r>
      <w:r w:rsidR="00587EFA">
        <w:t>s</w:t>
      </w:r>
      <w:r w:rsidR="00EE5EA9">
        <w:t xml:space="preserve"> to deliver</w:t>
      </w:r>
      <w:r w:rsidR="00327182">
        <w:t>s</w:t>
      </w:r>
      <w:r w:rsidR="00EE5EA9">
        <w:t xml:space="preserve"> opportunities for local businesses to take on additional work in the partner </w:t>
      </w:r>
      <w:r w:rsidR="00AD53BC">
        <w:t>Borough</w:t>
      </w:r>
      <w:r w:rsidR="00EE5EA9">
        <w:t xml:space="preserve">s and set foundations for new employment opportunities over the longer term. </w:t>
      </w:r>
    </w:p>
    <w:p w14:paraId="68A209AB" w14:textId="2B59E626" w:rsidR="00A62187" w:rsidRPr="00A62187" w:rsidRDefault="00A62187" w:rsidP="00EE5EA9">
      <w:pPr>
        <w:rPr>
          <w:b/>
          <w:bCs/>
        </w:rPr>
      </w:pPr>
    </w:p>
    <w:p w14:paraId="2144478A" w14:textId="61FEECA5" w:rsidR="00E51002" w:rsidRDefault="006879CC" w:rsidP="004043BC">
      <w:pPr>
        <w:rPr>
          <w:b/>
          <w:bCs/>
        </w:rPr>
      </w:pPr>
      <w:r>
        <w:rPr>
          <w:b/>
          <w:bCs/>
        </w:rPr>
        <w:t>13.</w:t>
      </w:r>
      <w:r w:rsidR="00261841">
        <w:rPr>
          <w:b/>
          <w:bCs/>
        </w:rPr>
        <w:t>5</w:t>
      </w:r>
      <w:r>
        <w:rPr>
          <w:b/>
          <w:bCs/>
        </w:rPr>
        <w:tab/>
      </w:r>
      <w:r w:rsidR="00E51002">
        <w:rPr>
          <w:b/>
          <w:bCs/>
        </w:rPr>
        <w:t xml:space="preserve">The threshold </w:t>
      </w:r>
      <w:r w:rsidR="00124B80">
        <w:rPr>
          <w:b/>
          <w:bCs/>
        </w:rPr>
        <w:t>that has been</w:t>
      </w:r>
      <w:r w:rsidR="007A4B48">
        <w:rPr>
          <w:b/>
          <w:bCs/>
        </w:rPr>
        <w:t xml:space="preserve"> </w:t>
      </w:r>
      <w:r w:rsidR="00E51002">
        <w:rPr>
          <w:b/>
          <w:bCs/>
        </w:rPr>
        <w:t xml:space="preserve">set </w:t>
      </w:r>
      <w:r w:rsidR="00587EFA">
        <w:rPr>
          <w:b/>
          <w:bCs/>
        </w:rPr>
        <w:t>are: -</w:t>
      </w:r>
    </w:p>
    <w:p w14:paraId="781A435E" w14:textId="597965D3" w:rsidR="004043BC" w:rsidRPr="00DA7A27" w:rsidRDefault="004043BC" w:rsidP="006879CC">
      <w:pPr>
        <w:ind w:firstLine="720"/>
        <w:rPr>
          <w:b/>
          <w:bCs/>
        </w:rPr>
      </w:pPr>
      <w:r w:rsidRPr="00DA7A27">
        <w:rPr>
          <w:b/>
          <w:bCs/>
        </w:rPr>
        <w:t xml:space="preserve">Price </w:t>
      </w:r>
      <w:r>
        <w:rPr>
          <w:b/>
          <w:bCs/>
        </w:rPr>
        <w:t>40</w:t>
      </w:r>
      <w:r w:rsidRPr="00DA7A27">
        <w:rPr>
          <w:b/>
          <w:bCs/>
        </w:rPr>
        <w:t>%</w:t>
      </w:r>
    </w:p>
    <w:p w14:paraId="088A7F45" w14:textId="494ACC2F" w:rsidR="002A3FEF" w:rsidRDefault="004043BC" w:rsidP="00587EFA">
      <w:pPr>
        <w:ind w:firstLine="720"/>
        <w:rPr>
          <w:b/>
          <w:bCs/>
          <w:color w:val="FF0000"/>
        </w:rPr>
      </w:pPr>
      <w:r w:rsidRPr="00DA7A27">
        <w:rPr>
          <w:b/>
          <w:bCs/>
        </w:rPr>
        <w:t xml:space="preserve">Quality </w:t>
      </w:r>
      <w:r>
        <w:rPr>
          <w:b/>
          <w:bCs/>
        </w:rPr>
        <w:t>60</w:t>
      </w:r>
      <w:r w:rsidRPr="00DA7A27">
        <w:rPr>
          <w:b/>
          <w:bCs/>
        </w:rPr>
        <w:t>%</w:t>
      </w:r>
      <w:r>
        <w:rPr>
          <w:b/>
          <w:bCs/>
        </w:rPr>
        <w:t xml:space="preserve"> of which </w:t>
      </w:r>
      <w:r w:rsidRPr="00DA7A27">
        <w:rPr>
          <w:b/>
          <w:bCs/>
        </w:rPr>
        <w:t xml:space="preserve">Social Value </w:t>
      </w:r>
      <w:r>
        <w:rPr>
          <w:b/>
          <w:bCs/>
        </w:rPr>
        <w:t>= 15</w:t>
      </w:r>
      <w:r w:rsidRPr="00DA7A27">
        <w:rPr>
          <w:b/>
          <w:bCs/>
        </w:rPr>
        <w:t>%</w:t>
      </w:r>
    </w:p>
    <w:p w14:paraId="44413A6E" w14:textId="78F1E775" w:rsidR="00333FAA" w:rsidRDefault="00E52D42" w:rsidP="00A1211C">
      <w:pPr>
        <w:pStyle w:val="Heading3"/>
        <w:spacing w:before="480" w:after="240"/>
      </w:pPr>
      <w:r>
        <w:t>14.</w:t>
      </w:r>
      <w:r w:rsidR="006879CC">
        <w:tab/>
      </w:r>
      <w:r w:rsidR="00333FAA">
        <w:t>Legal Implications</w:t>
      </w:r>
    </w:p>
    <w:p w14:paraId="23D54A83" w14:textId="77777777" w:rsidR="0023557A" w:rsidRDefault="00A1211C" w:rsidP="00A1211C">
      <w:pPr>
        <w:rPr>
          <w:b/>
          <w:bCs/>
        </w:rPr>
      </w:pPr>
      <w:r w:rsidRPr="00DA7A27">
        <w:rPr>
          <w:b/>
          <w:bCs/>
        </w:rPr>
        <w:t>Set out detailed legal implications of the proposed decision.</w:t>
      </w:r>
    </w:p>
    <w:p w14:paraId="156B68ED" w14:textId="398E5164" w:rsidR="00A1211C" w:rsidRDefault="00A1211C" w:rsidP="00A1211C">
      <w:pPr>
        <w:rPr>
          <w:b/>
          <w:bCs/>
          <w:color w:val="0000FF"/>
        </w:rPr>
      </w:pPr>
      <w:r w:rsidRPr="00DA7A27">
        <w:rPr>
          <w:b/>
          <w:bCs/>
        </w:rPr>
        <w:t xml:space="preserve">  </w:t>
      </w:r>
      <w:r w:rsidR="006879CC">
        <w:rPr>
          <w:b/>
          <w:bCs/>
        </w:rPr>
        <w:t xml:space="preserve"> </w:t>
      </w:r>
      <w:r w:rsidRPr="00DA7A27">
        <w:rPr>
          <w:b/>
          <w:bCs/>
          <w:color w:val="0000FF"/>
        </w:rPr>
        <w:t xml:space="preserve"> </w:t>
      </w:r>
    </w:p>
    <w:p w14:paraId="384F1798" w14:textId="2449FAE8" w:rsidR="0023557A" w:rsidRDefault="0023557A" w:rsidP="0023557A">
      <w:pPr>
        <w:ind w:left="720" w:hanging="720"/>
      </w:pPr>
      <w:r>
        <w:t>14.1</w:t>
      </w:r>
      <w:r>
        <w:tab/>
        <w:t>Harrow</w:t>
      </w:r>
      <w:r w:rsidRPr="002A5D78">
        <w:t xml:space="preserve"> Council</w:t>
      </w:r>
      <w:r>
        <w:t>, along with the other Consortium Boroughs</w:t>
      </w:r>
      <w:r w:rsidRPr="002A5D78">
        <w:t xml:space="preserve"> has </w:t>
      </w:r>
      <w:r>
        <w:t xml:space="preserve">the </w:t>
      </w:r>
      <w:r w:rsidRPr="002A5D78">
        <w:t xml:space="preserve">requisite power to </w:t>
      </w:r>
      <w:proofErr w:type="gramStart"/>
      <w:r w:rsidRPr="002A5D78">
        <w:t>enter into</w:t>
      </w:r>
      <w:proofErr w:type="gramEnd"/>
      <w:r w:rsidRPr="002A5D78">
        <w:t xml:space="preserve"> the proposed </w:t>
      </w:r>
      <w:r>
        <w:t xml:space="preserve">Memorandum of Understanding (MoU) in order to be a participant in and benefit </w:t>
      </w:r>
      <w:r w:rsidR="00327182">
        <w:t xml:space="preserve">from </w:t>
      </w:r>
      <w:r w:rsidR="00327182" w:rsidRPr="002A5D78">
        <w:t>the</w:t>
      </w:r>
      <w:r w:rsidRPr="002A5D78">
        <w:t xml:space="preserve"> Green Homes Grant Scheme.</w:t>
      </w:r>
    </w:p>
    <w:p w14:paraId="016D6B62" w14:textId="3F415521" w:rsidR="0023557A" w:rsidRDefault="0023557A" w:rsidP="0023557A"/>
    <w:p w14:paraId="513D534B" w14:textId="77777777" w:rsidR="0023557A" w:rsidRDefault="0023557A" w:rsidP="0023557A">
      <w:pPr>
        <w:ind w:left="720" w:hanging="720"/>
      </w:pPr>
      <w:r>
        <w:lastRenderedPageBreak/>
        <w:t>14.2</w:t>
      </w:r>
      <w:r>
        <w:tab/>
      </w:r>
      <w:r w:rsidRPr="002A5D78">
        <w:t>Section 111(1) of the Local Gov</w:t>
      </w:r>
      <w:r>
        <w:t>ernment</w:t>
      </w:r>
      <w:r w:rsidRPr="002A5D78">
        <w:t xml:space="preserve"> Act 1972 gives a local authority the power to do anything (whether or not involving the expenditure, borrowing or lending of money or the acquisition or disposal of any property or rights) which is calculated to facilitate, or is conducive or incidental to, the discharge of any of their functions.   </w:t>
      </w:r>
    </w:p>
    <w:p w14:paraId="3FE3BA5A" w14:textId="4B4FD8CF" w:rsidR="0023557A" w:rsidRDefault="0023557A" w:rsidP="0023557A">
      <w:pPr>
        <w:ind w:left="720"/>
      </w:pPr>
      <w:r w:rsidRPr="002A5D78">
        <w:t xml:space="preserve">This will include doing anything that, in its opinion, is in the interests of, and will bring direct benefit to, its area or any part of it or all or some of its residents.  </w:t>
      </w:r>
    </w:p>
    <w:p w14:paraId="45205817" w14:textId="77777777" w:rsidR="0023557A" w:rsidRDefault="0023557A" w:rsidP="0023557A"/>
    <w:p w14:paraId="1EBAC138" w14:textId="36A8160B" w:rsidR="0023557A" w:rsidRPr="002A5D78" w:rsidRDefault="0023557A" w:rsidP="0023557A">
      <w:pPr>
        <w:ind w:left="720" w:hanging="720"/>
      </w:pPr>
      <w:r>
        <w:t>14.3</w:t>
      </w:r>
      <w:r>
        <w:tab/>
      </w:r>
      <w:r w:rsidRPr="002A5D78">
        <w:t>In addition to this, section 1 (1) of the Localism Act 2011 gives local authorities general power to do anything individuals may do unless it is specifically prohibited in legislation.</w:t>
      </w:r>
    </w:p>
    <w:p w14:paraId="7D934021" w14:textId="77777777" w:rsidR="0023557A" w:rsidRPr="002A5D78" w:rsidRDefault="0023557A" w:rsidP="0023557A"/>
    <w:p w14:paraId="15103A70" w14:textId="61230417" w:rsidR="0023557A" w:rsidRPr="002A5D78" w:rsidRDefault="0023557A" w:rsidP="0023557A">
      <w:pPr>
        <w:ind w:left="720" w:hanging="720"/>
      </w:pPr>
      <w:r>
        <w:t>14.4</w:t>
      </w:r>
      <w:r>
        <w:tab/>
      </w:r>
      <w:r w:rsidRPr="002A5D78">
        <w:t>Procurement of the partner</w:t>
      </w:r>
      <w:r>
        <w:t>’s</w:t>
      </w:r>
      <w:r w:rsidRPr="002A5D78">
        <w:t xml:space="preserve"> </w:t>
      </w:r>
      <w:r>
        <w:t xml:space="preserve">delivery </w:t>
      </w:r>
      <w:r w:rsidRPr="002A5D78">
        <w:t xml:space="preserve">agent’s contract </w:t>
      </w:r>
      <w:r>
        <w:t xml:space="preserve">by Ealing Council on behalf of Harrow and the other Consortium Boroughs </w:t>
      </w:r>
      <w:r w:rsidRPr="002A5D78">
        <w:t xml:space="preserve">will be in accordance with the Public Contract Regulations 2015 and </w:t>
      </w:r>
      <w:r>
        <w:t>Ealing Council</w:t>
      </w:r>
      <w:r w:rsidRPr="002A5D78">
        <w:t xml:space="preserve">’s Contract Procedure Rules as appropriate.  </w:t>
      </w:r>
    </w:p>
    <w:p w14:paraId="2A9E8553" w14:textId="77777777" w:rsidR="0023557A" w:rsidRPr="002A5D78" w:rsidRDefault="0023557A" w:rsidP="0023557A"/>
    <w:p w14:paraId="1E6D8231" w14:textId="32E1EA60" w:rsidR="0023557A" w:rsidRPr="002A5D78" w:rsidRDefault="0023557A" w:rsidP="0023557A">
      <w:pPr>
        <w:ind w:left="720" w:hanging="720"/>
      </w:pPr>
      <w:r>
        <w:t>14.5</w:t>
      </w:r>
      <w:r>
        <w:tab/>
      </w:r>
      <w:r w:rsidRPr="002A5D78">
        <w:t xml:space="preserve">Ealing Council will </w:t>
      </w:r>
      <w:proofErr w:type="gramStart"/>
      <w:r w:rsidRPr="002A5D78">
        <w:t>enter into</w:t>
      </w:r>
      <w:proofErr w:type="gramEnd"/>
      <w:r w:rsidRPr="002A5D78">
        <w:t xml:space="preserve"> the contract with the delivery agent and will direct the delivery agent to carry out works on the properties as identified by the Consortium Boroughs.  </w:t>
      </w:r>
    </w:p>
    <w:p w14:paraId="6A285EC0" w14:textId="77777777" w:rsidR="0023557A" w:rsidRPr="002A5D78" w:rsidRDefault="0023557A" w:rsidP="0023557A"/>
    <w:p w14:paraId="29C7DA7F" w14:textId="19EEA1CE" w:rsidR="0023557A" w:rsidRPr="002A5D78" w:rsidRDefault="0023557A" w:rsidP="0023557A">
      <w:pPr>
        <w:ind w:left="720" w:hanging="720"/>
      </w:pPr>
      <w:r>
        <w:t>14.6</w:t>
      </w:r>
      <w:r>
        <w:tab/>
        <w:t>All the Consortium Boroughs</w:t>
      </w:r>
      <w:r w:rsidRPr="002A5D78">
        <w:t xml:space="preserve"> will </w:t>
      </w:r>
      <w:proofErr w:type="gramStart"/>
      <w:r w:rsidRPr="002A5D78">
        <w:t>enter into</w:t>
      </w:r>
      <w:proofErr w:type="gramEnd"/>
      <w:r w:rsidRPr="002A5D78">
        <w:t xml:space="preserve"> a Memorandum of Understanding requir</w:t>
      </w:r>
      <w:r>
        <w:t>ing</w:t>
      </w:r>
      <w:r w:rsidRPr="002A5D78">
        <w:t xml:space="preserve"> the</w:t>
      </w:r>
      <w:r>
        <w:t>m</w:t>
      </w:r>
      <w:r w:rsidRPr="002A5D78">
        <w:t xml:space="preserve"> to certify the works </w:t>
      </w:r>
      <w:r>
        <w:t>undertaken</w:t>
      </w:r>
      <w:r w:rsidRPr="002A5D78">
        <w:t xml:space="preserve"> before any payment is made by Ealing and </w:t>
      </w:r>
      <w:r>
        <w:t xml:space="preserve">the MoU </w:t>
      </w:r>
      <w:r w:rsidRPr="002A5D78">
        <w:t>will contain indemnities requir</w:t>
      </w:r>
      <w:r>
        <w:t>ing</w:t>
      </w:r>
      <w:r w:rsidRPr="002A5D78">
        <w:t xml:space="preserve"> them to comply with the Green Homes Grant Scheme conditions </w:t>
      </w:r>
    </w:p>
    <w:p w14:paraId="7F07221D" w14:textId="3EB300D6" w:rsidR="00EE5EA9" w:rsidRDefault="00120D7F" w:rsidP="004C571A">
      <w:pPr>
        <w:pStyle w:val="Heading3"/>
        <w:spacing w:before="480" w:after="240"/>
      </w:pPr>
      <w:r>
        <w:t xml:space="preserve">15. </w:t>
      </w:r>
      <w:r w:rsidR="00333FAA">
        <w:t>Financial Implications</w:t>
      </w:r>
    </w:p>
    <w:p w14:paraId="7433D566" w14:textId="2CC3C182" w:rsidR="00325128" w:rsidRPr="00325128" w:rsidRDefault="00325128" w:rsidP="006F5B1E">
      <w:pPr>
        <w:ind w:left="720" w:hanging="720"/>
      </w:pPr>
      <w:r>
        <w:t xml:space="preserve">15.1 </w:t>
      </w:r>
      <w:r w:rsidR="006F5B1E">
        <w:tab/>
      </w:r>
      <w:r>
        <w:t>The Authority was part of a successful consortium bid to BCIS for Green Homes Funding with London Borough of Ealing as the consortium lead.</w:t>
      </w:r>
    </w:p>
    <w:p w14:paraId="6692814F" w14:textId="26EB5408" w:rsidR="00002E7C" w:rsidRDefault="00002E7C" w:rsidP="00002E7C"/>
    <w:p w14:paraId="22612E42" w14:textId="704983AD" w:rsidR="004C4776" w:rsidRDefault="00002E7C" w:rsidP="00002E7C">
      <w:r>
        <w:t>15.</w:t>
      </w:r>
      <w:r w:rsidR="00325128">
        <w:t>2</w:t>
      </w:r>
      <w:r>
        <w:t xml:space="preserve"> </w:t>
      </w:r>
      <w:r>
        <w:tab/>
        <w:t xml:space="preserve">Phase </w:t>
      </w:r>
      <w:r w:rsidR="007E43C8">
        <w:t>2</w:t>
      </w:r>
      <w:r>
        <w:t xml:space="preserve"> will permit Harrow Council to recommend properties </w:t>
      </w:r>
      <w:r w:rsidR="004C4776">
        <w:t xml:space="preserve">for </w:t>
      </w:r>
    </w:p>
    <w:p w14:paraId="43678577" w14:textId="450BB780" w:rsidR="007C568C" w:rsidRDefault="004C4776" w:rsidP="00055CD6">
      <w:pPr>
        <w:ind w:left="720"/>
      </w:pPr>
      <w:r>
        <w:t xml:space="preserve">works to meet Government Green Energy targets. The </w:t>
      </w:r>
      <w:r w:rsidR="00A91EDB">
        <w:t>indicative</w:t>
      </w:r>
      <w:r>
        <w:t xml:space="preserve"> value of works for financial year </w:t>
      </w:r>
      <w:r w:rsidR="00A91EDB">
        <w:t>2021/22</w:t>
      </w:r>
      <w:r>
        <w:t xml:space="preserve"> is £</w:t>
      </w:r>
      <w:r w:rsidR="002F42F2">
        <w:t>750,000</w:t>
      </w:r>
      <w:r>
        <w:t xml:space="preserve"> and must be spent by 31</w:t>
      </w:r>
      <w:r w:rsidRPr="00B007CF">
        <w:rPr>
          <w:vertAlign w:val="superscript"/>
        </w:rPr>
        <w:t>st</w:t>
      </w:r>
      <w:r>
        <w:t xml:space="preserve"> March 202</w:t>
      </w:r>
      <w:r w:rsidR="002F42F2">
        <w:t>2</w:t>
      </w:r>
      <w:r>
        <w:t>. The works will be paid for directly by Ealing Council</w:t>
      </w:r>
      <w:r w:rsidR="00D7799F">
        <w:t>.  However, if Harrow brings forward 30 Council properties</w:t>
      </w:r>
      <w:r w:rsidR="00187131">
        <w:t xml:space="preserve"> into Phase 2 then we will contribute </w:t>
      </w:r>
      <w:r w:rsidR="00926F04">
        <w:t xml:space="preserve">up to £75,000 for works from the HRA.  </w:t>
      </w:r>
      <w:r w:rsidR="00594ED2">
        <w:t>There is currently capacity within the HRA to accommodate this request</w:t>
      </w:r>
      <w:r w:rsidR="007C568C">
        <w:t xml:space="preserve"> </w:t>
      </w:r>
      <w:proofErr w:type="gramStart"/>
      <w:r w:rsidR="00DC4C0D">
        <w:t xml:space="preserve">and  </w:t>
      </w:r>
      <w:r w:rsidR="007C568C">
        <w:t>will</w:t>
      </w:r>
      <w:proofErr w:type="gramEnd"/>
      <w:r w:rsidR="007C568C">
        <w:t xml:space="preserve"> be met from the budget for carbon reduction projects in 2021/22.  </w:t>
      </w:r>
    </w:p>
    <w:p w14:paraId="2D037061" w14:textId="7577F32E" w:rsidR="00002E7C" w:rsidRDefault="00002E7C" w:rsidP="006F5B1E">
      <w:pPr>
        <w:ind w:left="720"/>
      </w:pPr>
    </w:p>
    <w:p w14:paraId="689BF817" w14:textId="4099194A" w:rsidR="004C4776" w:rsidRDefault="004C4776" w:rsidP="004C4776"/>
    <w:p w14:paraId="674923C6" w14:textId="60E27A54" w:rsidR="00CF2E22" w:rsidRPr="00D66375" w:rsidRDefault="004C4776" w:rsidP="005E7682">
      <w:pPr>
        <w:ind w:left="720" w:hanging="720"/>
      </w:pPr>
      <w:r>
        <w:t>15.</w:t>
      </w:r>
      <w:r w:rsidR="006F5B1E">
        <w:t>3</w:t>
      </w:r>
      <w:r>
        <w:tab/>
      </w:r>
      <w:bookmarkStart w:id="4" w:name="_Hlk60826926"/>
      <w:r w:rsidR="00D96814">
        <w:t xml:space="preserve">Phase </w:t>
      </w:r>
      <w:r w:rsidR="00594ED2">
        <w:t>3</w:t>
      </w:r>
      <w:r w:rsidR="00D96814">
        <w:t xml:space="preserve"> is currently in the submission phase and approval from Cabinet </w:t>
      </w:r>
      <w:bookmarkEnd w:id="4"/>
      <w:r w:rsidR="00A039F1">
        <w:t>is being asked for del</w:t>
      </w:r>
      <w:r w:rsidR="00730B2F">
        <w:t xml:space="preserve">egated authority to the Corporate Director of Communities to </w:t>
      </w:r>
      <w:r w:rsidR="00D16673">
        <w:t>proceed with this and other phases if successful.</w:t>
      </w:r>
      <w:r w:rsidR="00714F31">
        <w:t xml:space="preserve">  Shou</w:t>
      </w:r>
      <w:r w:rsidR="005E5D4A">
        <w:t>ld any council properties be improved via this funding route again</w:t>
      </w:r>
      <w:r w:rsidR="00385BAB">
        <w:t xml:space="preserve"> </w:t>
      </w:r>
      <w:r w:rsidR="005E5D4A">
        <w:t>we are unlik</w:t>
      </w:r>
      <w:r w:rsidR="00275B1C">
        <w:t>e</w:t>
      </w:r>
      <w:r w:rsidR="005E5D4A">
        <w:t xml:space="preserve">ly to require </w:t>
      </w:r>
      <w:r w:rsidR="00385BAB">
        <w:t xml:space="preserve">more than £75,000 HRA resources </w:t>
      </w:r>
      <w:r w:rsidR="00DF48DA">
        <w:t>from our retrofitting budget.</w:t>
      </w:r>
    </w:p>
    <w:p w14:paraId="41AAE220" w14:textId="77777777" w:rsidR="00CF2E22" w:rsidRDefault="00CF2E22" w:rsidP="006F5B1E">
      <w:pPr>
        <w:ind w:left="720" w:hanging="720"/>
      </w:pPr>
    </w:p>
    <w:p w14:paraId="203AA2C4" w14:textId="2C58F85B" w:rsidR="00A1211C" w:rsidRPr="00112645" w:rsidRDefault="004C4776" w:rsidP="00112645">
      <w:pPr>
        <w:ind w:left="720" w:hanging="720"/>
      </w:pPr>
      <w:r>
        <w:lastRenderedPageBreak/>
        <w:t>15.</w:t>
      </w:r>
      <w:r w:rsidR="006F5B1E">
        <w:t>4</w:t>
      </w:r>
      <w:r>
        <w:tab/>
      </w:r>
      <w:r w:rsidR="00C5348D">
        <w:t>T</w:t>
      </w:r>
      <w:r w:rsidR="00716C96">
        <w:t xml:space="preserve">his </w:t>
      </w:r>
      <w:r w:rsidR="00C5348D">
        <w:t xml:space="preserve">area of work </w:t>
      </w:r>
      <w:r w:rsidR="00716C96">
        <w:t>is currently being managed within current staffing re</w:t>
      </w:r>
      <w:r w:rsidR="000D14A5">
        <w:t>sources</w:t>
      </w:r>
      <w:r w:rsidR="00C5348D">
        <w:t>.  However,</w:t>
      </w:r>
      <w:r w:rsidR="000D14A5">
        <w:t xml:space="preserve"> as retrofitting through the GHG LAD has become a growing area of work</w:t>
      </w:r>
      <w:r w:rsidR="00C5348D">
        <w:t xml:space="preserve"> the Asset Management Team </w:t>
      </w:r>
      <w:r w:rsidR="004E4602">
        <w:t xml:space="preserve">will present a business case for </w:t>
      </w:r>
      <w:r w:rsidR="005E4896">
        <w:t xml:space="preserve">General Fund </w:t>
      </w:r>
      <w:r w:rsidR="00473EB8">
        <w:t xml:space="preserve">to support the local administration of </w:t>
      </w:r>
      <w:r w:rsidR="00163F3C">
        <w:t>scheme(s)</w:t>
      </w:r>
      <w:r>
        <w:t>.</w:t>
      </w:r>
    </w:p>
    <w:p w14:paraId="41D80CF8" w14:textId="24E2240F" w:rsidR="00333FAA" w:rsidRPr="00303FD6" w:rsidRDefault="00120D7F" w:rsidP="00A1211C">
      <w:pPr>
        <w:pStyle w:val="Heading3"/>
        <w:spacing w:before="480" w:after="240"/>
        <w:rPr>
          <w:color w:val="FF0000"/>
        </w:rPr>
      </w:pPr>
      <w:r>
        <w:t xml:space="preserve">16. </w:t>
      </w:r>
      <w:r w:rsidR="002E382C">
        <w:tab/>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27745A33" w14:textId="1F7EF360" w:rsidR="003B356B" w:rsidRPr="00A014D1" w:rsidRDefault="002E382C" w:rsidP="002E382C">
      <w:pPr>
        <w:autoSpaceDE w:val="0"/>
        <w:autoSpaceDN w:val="0"/>
        <w:adjustRightInd w:val="0"/>
        <w:ind w:left="720" w:hanging="720"/>
        <w:jc w:val="both"/>
      </w:pPr>
      <w:r>
        <w:t>16.1</w:t>
      </w:r>
      <w:r>
        <w:tab/>
      </w:r>
      <w:r w:rsidR="003B356B" w:rsidRPr="00A014D1">
        <w:t xml:space="preserve">The contract specification </w:t>
      </w:r>
      <w:r w:rsidR="003B356B">
        <w:t>has been</w:t>
      </w:r>
      <w:r w:rsidR="003B356B" w:rsidRPr="00A014D1">
        <w:t xml:space="preserve"> clear on the equalities related duties on contractors, given the wide range of needs of </w:t>
      </w:r>
      <w:r w:rsidR="00E67E0A">
        <w:t>Council residents</w:t>
      </w:r>
      <w:r w:rsidR="003B356B" w:rsidRPr="00A014D1">
        <w:t>.</w:t>
      </w:r>
      <w:r w:rsidR="00E67E0A" w:rsidRPr="00E67E0A">
        <w:t xml:space="preserve"> </w:t>
      </w:r>
      <w:r w:rsidR="00E67E0A" w:rsidRPr="00A014D1">
        <w:t>The procurement exercise</w:t>
      </w:r>
      <w:r w:rsidR="00E67E0A">
        <w:t xml:space="preserve"> has been</w:t>
      </w:r>
      <w:r w:rsidR="00E67E0A" w:rsidRPr="00A014D1">
        <w:t xml:space="preserve"> designed to deliver existing policies and strategies maintaining the current level of equality in service provision.</w:t>
      </w:r>
    </w:p>
    <w:p w14:paraId="35B50BA7" w14:textId="77777777" w:rsidR="003B356B" w:rsidRPr="00A014D1" w:rsidRDefault="003B356B" w:rsidP="003B356B">
      <w:pPr>
        <w:autoSpaceDE w:val="0"/>
        <w:autoSpaceDN w:val="0"/>
        <w:adjustRightInd w:val="0"/>
        <w:jc w:val="both"/>
      </w:pPr>
    </w:p>
    <w:p w14:paraId="494C480A" w14:textId="4DB5632B" w:rsidR="00DB6265" w:rsidRDefault="002E382C" w:rsidP="003B356B">
      <w:pPr>
        <w:autoSpaceDE w:val="0"/>
        <w:autoSpaceDN w:val="0"/>
        <w:adjustRightInd w:val="0"/>
        <w:ind w:left="720" w:hanging="720"/>
        <w:jc w:val="both"/>
      </w:pPr>
      <w:r>
        <w:t>16.2</w:t>
      </w:r>
      <w:r>
        <w:tab/>
      </w:r>
      <w:r w:rsidR="003B356B" w:rsidRPr="00E67E0A">
        <w:t xml:space="preserve">An Equality Impact Assessment has been prepared </w:t>
      </w:r>
      <w:r w:rsidR="00DB6265">
        <w:t>by Ealing Council</w:t>
      </w:r>
    </w:p>
    <w:p w14:paraId="7D8CD730" w14:textId="72C222F1" w:rsidR="003B356B" w:rsidRPr="00120D7F" w:rsidRDefault="00B109AE" w:rsidP="002E382C">
      <w:pPr>
        <w:autoSpaceDE w:val="0"/>
        <w:autoSpaceDN w:val="0"/>
        <w:adjustRightInd w:val="0"/>
        <w:ind w:left="720"/>
        <w:jc w:val="both"/>
      </w:pPr>
      <w:r w:rsidRPr="00E67E0A">
        <w:t>specifically,</w:t>
      </w:r>
      <w:r w:rsidR="003B356B" w:rsidRPr="00E67E0A">
        <w:t xml:space="preserve"> for the</w:t>
      </w:r>
      <w:r w:rsidR="002E382C">
        <w:t xml:space="preserve"> </w:t>
      </w:r>
      <w:r w:rsidR="003B356B" w:rsidRPr="00E67E0A">
        <w:t xml:space="preserve">procurement exercise. </w:t>
      </w:r>
      <w:r w:rsidR="003B356B" w:rsidRPr="002E382C">
        <w:t>This identified no need for a full assessment at this stage</w:t>
      </w:r>
      <w:r w:rsidR="002E382C" w:rsidRPr="002E382C">
        <w:t xml:space="preserve"> </w:t>
      </w:r>
      <w:r w:rsidR="003B356B" w:rsidRPr="002E382C">
        <w:t>because it did not identify any potential for unlawful conduct or disproportionate</w:t>
      </w:r>
      <w:r w:rsidR="002E382C" w:rsidRPr="002E382C">
        <w:t xml:space="preserve"> </w:t>
      </w:r>
      <w:r w:rsidR="003B356B" w:rsidRPr="002E382C">
        <w:t xml:space="preserve">impact. </w:t>
      </w:r>
      <w:r w:rsidR="00163F3C">
        <w:t xml:space="preserve"> </w:t>
      </w:r>
      <w:r w:rsidR="003B356B" w:rsidRPr="002E382C">
        <w:t>All opportunities to address diversity-particularly vulnerability for all</w:t>
      </w:r>
      <w:r w:rsidR="00163F3C">
        <w:t xml:space="preserve"> </w:t>
      </w:r>
      <w:r w:rsidR="003B356B" w:rsidRPr="00E67E0A">
        <w:t>tenants and will be addressed through the contract specification and ensure</w:t>
      </w:r>
      <w:r w:rsidR="002E382C">
        <w:t xml:space="preserve"> </w:t>
      </w:r>
      <w:r w:rsidR="003B356B" w:rsidRPr="00E67E0A">
        <w:t xml:space="preserve">residents receive the same service regardless of but </w:t>
      </w:r>
      <w:proofErr w:type="gramStart"/>
      <w:r w:rsidR="003B356B" w:rsidRPr="00E67E0A">
        <w:t>taking into account</w:t>
      </w:r>
      <w:proofErr w:type="gramEnd"/>
      <w:r w:rsidR="003B356B" w:rsidRPr="00E67E0A">
        <w:t xml:space="preserve"> specific</w:t>
      </w:r>
      <w:r w:rsidR="002E382C">
        <w:t xml:space="preserve"> </w:t>
      </w:r>
      <w:r w:rsidR="003B356B" w:rsidRPr="00E67E0A">
        <w:t xml:space="preserve">needs. </w:t>
      </w:r>
    </w:p>
    <w:p w14:paraId="0E9ED8C5" w14:textId="59D1D9DF" w:rsidR="00333FAA" w:rsidRPr="009117F2" w:rsidRDefault="00120D7F" w:rsidP="00A1211C">
      <w:pPr>
        <w:pStyle w:val="Heading3"/>
        <w:spacing w:before="480" w:after="240"/>
      </w:pPr>
      <w:r>
        <w:t xml:space="preserve">17. </w:t>
      </w:r>
      <w:r w:rsidR="00333FAA">
        <w:t xml:space="preserve">Council </w:t>
      </w:r>
      <w:r w:rsidR="00333FAA" w:rsidRPr="009117F2">
        <w:t>Priorities</w:t>
      </w:r>
    </w:p>
    <w:p w14:paraId="7EEEB0D0" w14:textId="17CE3246" w:rsidR="001966D7" w:rsidRDefault="001966D7" w:rsidP="00694CB1">
      <w:pPr>
        <w:ind w:left="720"/>
        <w:rPr>
          <w:rFonts w:cs="Arial"/>
          <w:szCs w:val="24"/>
          <w:lang w:val="en-US"/>
        </w:rPr>
      </w:pPr>
      <w:r w:rsidRPr="00CD57D8">
        <w:rPr>
          <w:rFonts w:cs="Arial"/>
          <w:szCs w:val="24"/>
          <w:lang w:val="en-US"/>
        </w:rPr>
        <w:t xml:space="preserve">Please </w:t>
      </w:r>
      <w:r w:rsidR="008C1985">
        <w:rPr>
          <w:rFonts w:cs="Arial"/>
          <w:szCs w:val="24"/>
          <w:lang w:val="en-US"/>
        </w:rPr>
        <w:t xml:space="preserve">see below how the </w:t>
      </w:r>
      <w:r w:rsidR="00A23E19">
        <w:rPr>
          <w:rFonts w:cs="Arial"/>
          <w:szCs w:val="24"/>
          <w:lang w:val="en-US"/>
        </w:rPr>
        <w:t>decision sought delivers the</w:t>
      </w:r>
      <w:r w:rsidR="008C1985">
        <w:rPr>
          <w:rFonts w:cs="Arial"/>
          <w:szCs w:val="24"/>
          <w:lang w:val="en-US"/>
        </w:rPr>
        <w:t xml:space="preserve"> Council’s</w:t>
      </w:r>
      <w:r w:rsidR="00A23E19">
        <w:rPr>
          <w:rFonts w:cs="Arial"/>
          <w:szCs w:val="24"/>
          <w:lang w:val="en-US"/>
        </w:rPr>
        <w:t xml:space="preserv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778116C1" w14:textId="77777777" w:rsidR="00CD3831" w:rsidRPr="00CD57D8" w:rsidRDefault="00CD3831" w:rsidP="001966D7">
      <w:pPr>
        <w:rPr>
          <w:rFonts w:cs="Arial"/>
          <w:szCs w:val="24"/>
          <w:lang w:val="en-US"/>
        </w:rPr>
      </w:pPr>
    </w:p>
    <w:p w14:paraId="3375021C" w14:textId="77777777" w:rsidR="005564DE" w:rsidRPr="005564DE" w:rsidRDefault="00D0381E" w:rsidP="007D2F57">
      <w:pPr>
        <w:pStyle w:val="ListParagraph"/>
        <w:numPr>
          <w:ilvl w:val="0"/>
          <w:numId w:val="5"/>
        </w:numPr>
        <w:autoSpaceDE w:val="0"/>
        <w:autoSpaceDN w:val="0"/>
        <w:spacing w:before="240"/>
        <w:rPr>
          <w:b/>
          <w:bCs/>
        </w:rPr>
      </w:pPr>
      <w:r w:rsidRPr="00D0381E">
        <w:rPr>
          <w:b/>
        </w:rPr>
        <w:t>Improving the environment and addressing climate change</w:t>
      </w:r>
      <w:r w:rsidR="005564DE" w:rsidRPr="005564DE">
        <w:rPr>
          <w:szCs w:val="24"/>
        </w:rPr>
        <w:t xml:space="preserve"> </w:t>
      </w:r>
    </w:p>
    <w:p w14:paraId="2602250F" w14:textId="12E3BE94" w:rsidR="00D07F46" w:rsidRPr="00D0381E" w:rsidRDefault="005564DE" w:rsidP="005564DE">
      <w:pPr>
        <w:pStyle w:val="ListParagraph"/>
        <w:autoSpaceDE w:val="0"/>
        <w:autoSpaceDN w:val="0"/>
        <w:spacing w:before="240"/>
        <w:rPr>
          <w:b/>
          <w:bCs/>
        </w:rPr>
      </w:pPr>
      <w:r w:rsidRPr="7412731A">
        <w:rPr>
          <w:szCs w:val="24"/>
        </w:rPr>
        <w:t>The retrofits will bring homes to a comfortable home standard, eliminate damp and moul</w:t>
      </w:r>
      <w:r>
        <w:rPr>
          <w:szCs w:val="24"/>
        </w:rPr>
        <w:t xml:space="preserve">d. </w:t>
      </w:r>
      <w:r w:rsidRPr="7412731A">
        <w:rPr>
          <w:szCs w:val="24"/>
        </w:rPr>
        <w:t xml:space="preserve">Energy efficiency upgrades will </w:t>
      </w:r>
      <w:r w:rsidR="0063309F">
        <w:rPr>
          <w:szCs w:val="24"/>
        </w:rPr>
        <w:t xml:space="preserve">reduce carbon emissions and </w:t>
      </w:r>
      <w:r w:rsidRPr="7412731A">
        <w:rPr>
          <w:szCs w:val="24"/>
        </w:rPr>
        <w:t>save residents money, making homes more affordable to comfortably operate.</w:t>
      </w:r>
    </w:p>
    <w:p w14:paraId="3B546FEA" w14:textId="08197C64" w:rsidR="00D07F46" w:rsidRPr="008C1985" w:rsidRDefault="00D0381E" w:rsidP="00B53B3E">
      <w:pPr>
        <w:pStyle w:val="ListParagraph"/>
        <w:numPr>
          <w:ilvl w:val="0"/>
          <w:numId w:val="5"/>
        </w:numPr>
        <w:autoSpaceDE w:val="0"/>
        <w:autoSpaceDN w:val="0"/>
        <w:spacing w:before="240"/>
        <w:rPr>
          <w:b/>
        </w:rPr>
      </w:pPr>
      <w:r w:rsidRPr="00D0381E">
        <w:rPr>
          <w:b/>
        </w:rPr>
        <w:t>Tackling poverty and inequality</w:t>
      </w:r>
      <w:r w:rsidR="005564DE" w:rsidRPr="005564DE">
        <w:rPr>
          <w:b/>
        </w:rPr>
        <w:t xml:space="preserve"> </w:t>
      </w:r>
      <w:r w:rsidR="005564DE">
        <w:rPr>
          <w:b/>
        </w:rPr>
        <w:t>/</w:t>
      </w:r>
      <w:r w:rsidR="005564DE" w:rsidRPr="00D0381E">
        <w:rPr>
          <w:b/>
        </w:rPr>
        <w:t>Addressing health and social care inequality</w:t>
      </w:r>
    </w:p>
    <w:p w14:paraId="3DF3324D" w14:textId="577307D4" w:rsidR="005564DE" w:rsidRDefault="005564DE" w:rsidP="005564DE">
      <w:pPr>
        <w:pStyle w:val="ListParagraph"/>
        <w:spacing w:after="160" w:line="252" w:lineRule="auto"/>
        <w:contextualSpacing/>
        <w:rPr>
          <w:szCs w:val="24"/>
        </w:rPr>
      </w:pPr>
      <w:r w:rsidRPr="7412731A">
        <w:rPr>
          <w:szCs w:val="24"/>
        </w:rPr>
        <w:t xml:space="preserve">Eliminating fuel poverty for households results in community wealth generation by reducing the overall impact of heating and fuel costs </w:t>
      </w:r>
      <w:r w:rsidR="00412056">
        <w:rPr>
          <w:szCs w:val="24"/>
        </w:rPr>
        <w:t>for</w:t>
      </w:r>
      <w:r w:rsidRPr="7412731A">
        <w:rPr>
          <w:szCs w:val="24"/>
        </w:rPr>
        <w:t xml:space="preserve"> reside</w:t>
      </w:r>
      <w:r w:rsidR="00412056">
        <w:rPr>
          <w:szCs w:val="24"/>
        </w:rPr>
        <w:t>nts</w:t>
      </w:r>
      <w:r w:rsidRPr="7412731A">
        <w:rPr>
          <w:szCs w:val="24"/>
        </w:rPr>
        <w:t>, as well as draughts, reducing negative impacts on health, hospital admissions, and length of stay. There is a direct correlation between fuel poverty and health, as evidenced by the recent COVID-19 outbreak, which was felt most severely by communities known to have higher fuel poverty rates.</w:t>
      </w:r>
    </w:p>
    <w:p w14:paraId="412CFAB9" w14:textId="77777777" w:rsidR="008C1985" w:rsidRPr="009D668B" w:rsidRDefault="008C1985" w:rsidP="005564DE">
      <w:pPr>
        <w:pStyle w:val="ListParagraph"/>
        <w:spacing w:after="160" w:line="252" w:lineRule="auto"/>
        <w:contextualSpacing/>
        <w:rPr>
          <w:rFonts w:eastAsia="Arial" w:cs="Arial"/>
          <w:b/>
          <w:bCs/>
          <w:szCs w:val="24"/>
        </w:rPr>
      </w:pPr>
    </w:p>
    <w:p w14:paraId="74ED77AB" w14:textId="43128FEB" w:rsidR="00307F76" w:rsidRDefault="00D0381E" w:rsidP="007D2F57">
      <w:pPr>
        <w:pStyle w:val="ListParagraph"/>
        <w:numPr>
          <w:ilvl w:val="0"/>
          <w:numId w:val="5"/>
        </w:numPr>
        <w:autoSpaceDE w:val="0"/>
        <w:autoSpaceDN w:val="0"/>
        <w:spacing w:before="240"/>
        <w:rPr>
          <w:b/>
        </w:rPr>
      </w:pPr>
      <w:r w:rsidRPr="00D0381E">
        <w:rPr>
          <w:b/>
        </w:rPr>
        <w:t>Thriving economy</w:t>
      </w:r>
    </w:p>
    <w:p w14:paraId="2DBD4BB4" w14:textId="02328165" w:rsidR="00A4383F" w:rsidRPr="009D668B" w:rsidRDefault="00A4383F" w:rsidP="00A4383F">
      <w:pPr>
        <w:pStyle w:val="ListParagraph"/>
        <w:spacing w:after="160" w:line="252" w:lineRule="auto"/>
        <w:contextualSpacing/>
        <w:jc w:val="both"/>
        <w:rPr>
          <w:rFonts w:eastAsia="Arial" w:cs="Arial"/>
          <w:color w:val="000000" w:themeColor="text1"/>
          <w:szCs w:val="24"/>
        </w:rPr>
      </w:pPr>
      <w:r w:rsidRPr="7412731A">
        <w:rPr>
          <w:szCs w:val="24"/>
        </w:rPr>
        <w:t xml:space="preserve">There is potential for job creation in the </w:t>
      </w:r>
      <w:r w:rsidR="00AD53BC">
        <w:rPr>
          <w:szCs w:val="24"/>
        </w:rPr>
        <w:t>Borough</w:t>
      </w:r>
      <w:r w:rsidRPr="7412731A">
        <w:rPr>
          <w:szCs w:val="24"/>
        </w:rPr>
        <w:t xml:space="preserve"> bringing skilled job opportunities, as well as apprenticeships for those looking to upskill or move into the green economy.</w:t>
      </w:r>
    </w:p>
    <w:p w14:paraId="231247B4" w14:textId="1E7679FF" w:rsidR="00FC7193" w:rsidRDefault="00FC7193" w:rsidP="005564DE">
      <w:pPr>
        <w:ind w:left="720"/>
      </w:pPr>
      <w:r>
        <w:lastRenderedPageBreak/>
        <w:t xml:space="preserve">The consortium </w:t>
      </w:r>
      <w:r w:rsidR="008C1985">
        <w:t xml:space="preserve">lead Borough </w:t>
      </w:r>
      <w:r>
        <w:t>has liaised closely with the West London Alliance Recovery work, including aligning opportunities with the West London Business skills academies that are soon to be launched.</w:t>
      </w:r>
    </w:p>
    <w:p w14:paraId="1937F2C9" w14:textId="77777777" w:rsidR="00CF0C4B" w:rsidRDefault="00CF0C4B" w:rsidP="00CF0C4B">
      <w:pPr>
        <w:ind w:left="720"/>
      </w:pPr>
    </w:p>
    <w:p w14:paraId="1198FA8B" w14:textId="0EE2432E" w:rsidR="00CF0C4B" w:rsidRDefault="00CF0C4B" w:rsidP="00CF0C4B">
      <w:pPr>
        <w:ind w:left="720"/>
      </w:pPr>
      <w:r>
        <w:t>Due to the pace of delivery required by this grant, as well as the simultaneous publication of other similar grants aimed at other audiences (i.e., able to pay households and commercial), it is expected the sector will need to grow quickly to satisfy demand for energy efficiency retrofits.</w:t>
      </w:r>
    </w:p>
    <w:p w14:paraId="5514D939" w14:textId="77777777" w:rsidR="00333FAA" w:rsidRDefault="00333FAA" w:rsidP="000B7C66">
      <w:pPr>
        <w:pStyle w:val="Heading2"/>
        <w:spacing w:before="480" w:after="240"/>
      </w:pPr>
      <w:r>
        <w:t>Section 3 - Statutory Officer Clearance</w:t>
      </w:r>
    </w:p>
    <w:p w14:paraId="3B5D52F9" w14:textId="2E456AAF" w:rsidR="00A66326" w:rsidRPr="00A66326" w:rsidRDefault="00A66326" w:rsidP="00A66326">
      <w:pPr>
        <w:rPr>
          <w:sz w:val="28"/>
        </w:rPr>
      </w:pPr>
      <w:r w:rsidRPr="00A66326">
        <w:rPr>
          <w:b/>
          <w:sz w:val="28"/>
        </w:rPr>
        <w:t xml:space="preserve">Statutory Officer:  </w:t>
      </w:r>
      <w:r w:rsidR="00E22DC1">
        <w:rPr>
          <w:b/>
          <w:sz w:val="28"/>
        </w:rPr>
        <w:t>Tasleem Kazmi</w:t>
      </w:r>
    </w:p>
    <w:p w14:paraId="06450070" w14:textId="2DDC77AB" w:rsidR="00A66326" w:rsidRPr="00A66326" w:rsidRDefault="00A66326" w:rsidP="00A66326">
      <w:r w:rsidRPr="00A66326">
        <w:t>Signed on behalf of</w:t>
      </w:r>
      <w:r w:rsidR="001A48DF">
        <w:t xml:space="preserve"> </w:t>
      </w:r>
      <w:r w:rsidRPr="00A66326">
        <w:t>the Chief Financial Officer</w:t>
      </w:r>
    </w:p>
    <w:p w14:paraId="555021EF" w14:textId="0DA83270" w:rsidR="00A66326" w:rsidRPr="00A66326" w:rsidRDefault="00A66326" w:rsidP="00A66326">
      <w:pPr>
        <w:spacing w:after="480"/>
        <w:rPr>
          <w:sz w:val="28"/>
        </w:rPr>
      </w:pPr>
      <w:r w:rsidRPr="00A66326">
        <w:rPr>
          <w:b/>
          <w:sz w:val="28"/>
        </w:rPr>
        <w:t xml:space="preserve">Date:  </w:t>
      </w:r>
      <w:r w:rsidR="002B620B">
        <w:rPr>
          <w:b/>
          <w:sz w:val="28"/>
        </w:rPr>
        <w:t>11</w:t>
      </w:r>
      <w:r w:rsidR="002B620B" w:rsidRPr="002B620B">
        <w:rPr>
          <w:b/>
          <w:sz w:val="28"/>
          <w:vertAlign w:val="superscript"/>
        </w:rPr>
        <w:t>th</w:t>
      </w:r>
      <w:r w:rsidR="002B620B">
        <w:rPr>
          <w:b/>
          <w:sz w:val="28"/>
        </w:rPr>
        <w:t xml:space="preserve"> October </w:t>
      </w:r>
      <w:r w:rsidR="00773CF9">
        <w:rPr>
          <w:b/>
          <w:sz w:val="28"/>
        </w:rPr>
        <w:t>2021</w:t>
      </w:r>
    </w:p>
    <w:p w14:paraId="029C5BD1" w14:textId="7C250BFC" w:rsidR="002D4378" w:rsidRPr="002D4378" w:rsidRDefault="00A66326" w:rsidP="002D4378">
      <w:pPr>
        <w:rPr>
          <w:b/>
          <w:sz w:val="28"/>
        </w:rPr>
      </w:pPr>
      <w:r w:rsidRPr="00A66326">
        <w:rPr>
          <w:b/>
          <w:sz w:val="28"/>
        </w:rPr>
        <w:t xml:space="preserve">Statutory Officer:  </w:t>
      </w:r>
      <w:r w:rsidR="002D4378">
        <w:rPr>
          <w:b/>
          <w:sz w:val="28"/>
        </w:rPr>
        <w:t>Sarah Inverary</w:t>
      </w:r>
    </w:p>
    <w:p w14:paraId="76E71941" w14:textId="1D324DB9" w:rsidR="00A66326" w:rsidRPr="00A66326" w:rsidRDefault="002D4378" w:rsidP="002D4378">
      <w:pPr>
        <w:rPr>
          <w:sz w:val="28"/>
        </w:rPr>
      </w:pPr>
      <w:r w:rsidRPr="00A66326">
        <w:t>Signed on behalf of</w:t>
      </w:r>
      <w:r>
        <w:t xml:space="preserve"> </w:t>
      </w:r>
      <w:r w:rsidRPr="00A66326">
        <w:t>the Monitoring Officer</w:t>
      </w:r>
    </w:p>
    <w:p w14:paraId="1AC0D358" w14:textId="6E49F455" w:rsidR="00A66326" w:rsidRPr="003313EA" w:rsidRDefault="00A66326" w:rsidP="00A66326">
      <w:pPr>
        <w:spacing w:after="480"/>
        <w:rPr>
          <w:sz w:val="28"/>
        </w:rPr>
      </w:pPr>
      <w:r w:rsidRPr="00A66326">
        <w:rPr>
          <w:b/>
          <w:sz w:val="28"/>
        </w:rPr>
        <w:t xml:space="preserve">Date:  </w:t>
      </w:r>
      <w:r w:rsidR="00100C1E">
        <w:rPr>
          <w:b/>
          <w:sz w:val="28"/>
        </w:rPr>
        <w:t>11</w:t>
      </w:r>
      <w:r w:rsidR="00100C1E" w:rsidRPr="0091018C">
        <w:rPr>
          <w:b/>
          <w:sz w:val="28"/>
          <w:vertAlign w:val="superscript"/>
        </w:rPr>
        <w:t>th</w:t>
      </w:r>
      <w:r w:rsidR="00100C1E">
        <w:rPr>
          <w:b/>
          <w:sz w:val="28"/>
        </w:rPr>
        <w:t xml:space="preserve"> October </w:t>
      </w:r>
      <w:r w:rsidR="00773CF9">
        <w:rPr>
          <w:b/>
          <w:sz w:val="28"/>
        </w:rPr>
        <w:t>202</w:t>
      </w:r>
      <w:r w:rsidR="002D2F95">
        <w:rPr>
          <w:b/>
          <w:sz w:val="28"/>
        </w:rPr>
        <w:t>1</w:t>
      </w:r>
    </w:p>
    <w:p w14:paraId="72788CD7" w14:textId="24F41D6E" w:rsidR="00A66326" w:rsidRPr="003313EA" w:rsidRDefault="00A66326" w:rsidP="00A66326">
      <w:pPr>
        <w:rPr>
          <w:sz w:val="28"/>
        </w:rPr>
      </w:pPr>
      <w:r w:rsidRPr="00A66326">
        <w:rPr>
          <w:b/>
          <w:sz w:val="28"/>
        </w:rPr>
        <w:t xml:space="preserve">Statutory Officer:  </w:t>
      </w:r>
      <w:r w:rsidR="007431EF">
        <w:rPr>
          <w:b/>
          <w:sz w:val="28"/>
        </w:rPr>
        <w:t>Nimesh Mehta</w:t>
      </w:r>
    </w:p>
    <w:p w14:paraId="15C004F3" w14:textId="5163CC61" w:rsidR="00A66326" w:rsidRPr="003313EA" w:rsidRDefault="00A66326" w:rsidP="00A66326">
      <w:r w:rsidRPr="003313EA">
        <w:t xml:space="preserve">Signed </w:t>
      </w:r>
      <w:r w:rsidR="00587EFA">
        <w:t>by</w:t>
      </w:r>
      <w:r w:rsidRPr="003313EA">
        <w:t xml:space="preserve"> the Head of Procurement</w:t>
      </w:r>
    </w:p>
    <w:p w14:paraId="7C58F35B" w14:textId="32879933" w:rsidR="00A66326" w:rsidRDefault="001A48DF" w:rsidP="00587EFA">
      <w:pPr>
        <w:ind w:left="360" w:hanging="360"/>
        <w:jc w:val="both"/>
        <w:rPr>
          <w:b/>
          <w:sz w:val="28"/>
        </w:rPr>
      </w:pPr>
      <w:r>
        <w:rPr>
          <w:rFonts w:cs="Arial"/>
          <w:color w:val="FF0000"/>
        </w:rPr>
        <w:t xml:space="preserve"> </w:t>
      </w:r>
      <w:r w:rsidR="00A66326" w:rsidRPr="00A66326">
        <w:rPr>
          <w:b/>
          <w:sz w:val="28"/>
        </w:rPr>
        <w:t xml:space="preserve">Date:  </w:t>
      </w:r>
      <w:r w:rsidR="0091018C">
        <w:rPr>
          <w:b/>
          <w:sz w:val="28"/>
        </w:rPr>
        <w:t>11</w:t>
      </w:r>
      <w:r w:rsidR="0091018C" w:rsidRPr="0091018C">
        <w:rPr>
          <w:b/>
          <w:sz w:val="28"/>
          <w:vertAlign w:val="superscript"/>
        </w:rPr>
        <w:t>th</w:t>
      </w:r>
      <w:r w:rsidR="0091018C">
        <w:rPr>
          <w:b/>
          <w:sz w:val="28"/>
        </w:rPr>
        <w:t xml:space="preserve"> October </w:t>
      </w:r>
      <w:r>
        <w:rPr>
          <w:b/>
          <w:sz w:val="28"/>
        </w:rPr>
        <w:t>2021</w:t>
      </w:r>
    </w:p>
    <w:p w14:paraId="170D019C" w14:textId="77777777" w:rsidR="00587EFA" w:rsidRPr="00A66326" w:rsidRDefault="00587EFA" w:rsidP="00587EFA">
      <w:pPr>
        <w:ind w:left="360" w:hanging="360"/>
        <w:jc w:val="both"/>
        <w:rPr>
          <w:sz w:val="28"/>
        </w:rPr>
      </w:pPr>
    </w:p>
    <w:p w14:paraId="7B7CECF4" w14:textId="2BDA51D9" w:rsidR="00A66326" w:rsidRPr="00A66326" w:rsidRDefault="00A66326" w:rsidP="00A66326">
      <w:pPr>
        <w:rPr>
          <w:sz w:val="28"/>
        </w:rPr>
      </w:pPr>
      <w:r w:rsidRPr="00A66326">
        <w:rPr>
          <w:b/>
          <w:sz w:val="28"/>
        </w:rPr>
        <w:t xml:space="preserve">Statutory Officer: </w:t>
      </w:r>
      <w:r w:rsidR="001763B0">
        <w:rPr>
          <w:b/>
          <w:sz w:val="28"/>
        </w:rPr>
        <w:t>Dipti Patel</w:t>
      </w:r>
    </w:p>
    <w:p w14:paraId="029B596F" w14:textId="77777777" w:rsidR="00A66326" w:rsidRPr="00A66326" w:rsidRDefault="00F51E01" w:rsidP="00A66326">
      <w:r>
        <w:t>Signed</w:t>
      </w:r>
      <w:r w:rsidR="00A66326" w:rsidRPr="00A66326">
        <w:t xml:space="preserve"> by the Corporate Director</w:t>
      </w:r>
    </w:p>
    <w:p w14:paraId="74DFB7F8" w14:textId="263F7534" w:rsidR="00A66326" w:rsidRDefault="00A66326" w:rsidP="00A66326">
      <w:pPr>
        <w:spacing w:after="480"/>
        <w:rPr>
          <w:b/>
          <w:sz w:val="28"/>
        </w:rPr>
      </w:pPr>
      <w:r w:rsidRPr="00A66326">
        <w:rPr>
          <w:b/>
          <w:sz w:val="28"/>
        </w:rPr>
        <w:t xml:space="preserve">Date:  </w:t>
      </w:r>
      <w:r w:rsidR="00B109AE">
        <w:rPr>
          <w:b/>
          <w:sz w:val="28"/>
        </w:rPr>
        <w:t xml:space="preserve"> 11</w:t>
      </w:r>
      <w:r w:rsidR="00B109AE" w:rsidRPr="00117B1B">
        <w:rPr>
          <w:b/>
          <w:sz w:val="28"/>
          <w:vertAlign w:val="superscript"/>
        </w:rPr>
        <w:t>th</w:t>
      </w:r>
      <w:r w:rsidR="00B109AE">
        <w:rPr>
          <w:b/>
          <w:sz w:val="28"/>
        </w:rPr>
        <w:t xml:space="preserve"> October 2021</w:t>
      </w:r>
    </w:p>
    <w:p w14:paraId="67BBAB33" w14:textId="35D4AD8C" w:rsidR="00506185" w:rsidRPr="00A66326" w:rsidRDefault="00506185" w:rsidP="00506185">
      <w:pPr>
        <w:rPr>
          <w:sz w:val="28"/>
        </w:rPr>
      </w:pPr>
      <w:r w:rsidRPr="00A66326">
        <w:rPr>
          <w:b/>
          <w:sz w:val="28"/>
        </w:rPr>
        <w:t xml:space="preserve">Statutory Officer:  </w:t>
      </w:r>
      <w:r w:rsidR="00E22DC1" w:rsidRPr="00E22DC1">
        <w:rPr>
          <w:b/>
          <w:sz w:val="28"/>
        </w:rPr>
        <w:t>Susan Dixson</w:t>
      </w:r>
      <w:r w:rsidR="00842D2F">
        <w:rPr>
          <w:b/>
          <w:sz w:val="28"/>
        </w:rPr>
        <w:t xml:space="preserve"> </w:t>
      </w:r>
    </w:p>
    <w:p w14:paraId="1A54F52A" w14:textId="61A213BB" w:rsidR="00506185" w:rsidRPr="003313EA" w:rsidRDefault="00506185" w:rsidP="00506185">
      <w:r w:rsidRPr="003313EA">
        <w:t xml:space="preserve">Signed by the Head of </w:t>
      </w:r>
      <w:r>
        <w:t>Internal Audit</w:t>
      </w:r>
    </w:p>
    <w:p w14:paraId="069350BA" w14:textId="47BCAE38" w:rsidR="00506185" w:rsidRPr="00A66326" w:rsidRDefault="00506185" w:rsidP="00506185">
      <w:pPr>
        <w:spacing w:after="480"/>
        <w:rPr>
          <w:sz w:val="28"/>
        </w:rPr>
      </w:pPr>
      <w:r w:rsidRPr="00A66326">
        <w:rPr>
          <w:b/>
          <w:sz w:val="28"/>
        </w:rPr>
        <w:t xml:space="preserve">Date:  </w:t>
      </w:r>
      <w:r w:rsidR="002B620B">
        <w:rPr>
          <w:b/>
          <w:sz w:val="28"/>
        </w:rPr>
        <w:t>11</w:t>
      </w:r>
      <w:r w:rsidR="002B620B" w:rsidRPr="002B620B">
        <w:rPr>
          <w:b/>
          <w:sz w:val="28"/>
          <w:vertAlign w:val="superscript"/>
        </w:rPr>
        <w:t>th</w:t>
      </w:r>
      <w:r w:rsidR="002B620B">
        <w:rPr>
          <w:b/>
          <w:sz w:val="28"/>
        </w:rPr>
        <w:t xml:space="preserve"> October 2021</w:t>
      </w:r>
    </w:p>
    <w:p w14:paraId="45A19EC7" w14:textId="77777777" w:rsidR="003313EA" w:rsidRPr="00435B5D" w:rsidRDefault="003313EA" w:rsidP="003313EA">
      <w:pPr>
        <w:pStyle w:val="Heading2"/>
        <w:spacing w:after="240"/>
      </w:pPr>
      <w:r>
        <w:t>Mandatory Checks</w:t>
      </w:r>
    </w:p>
    <w:p w14:paraId="64551188" w14:textId="7CA48DFC" w:rsidR="003313EA" w:rsidRPr="00A406F3" w:rsidRDefault="003313EA" w:rsidP="003313EA">
      <w:pPr>
        <w:pStyle w:val="Heading3"/>
        <w:ind w:left="0" w:firstLine="0"/>
        <w:jc w:val="left"/>
      </w:pPr>
      <w:r w:rsidRPr="003313EA">
        <w:t xml:space="preserve">Ward Councillors </w:t>
      </w:r>
      <w:r>
        <w:t xml:space="preserve">notified:  </w:t>
      </w:r>
      <w:r w:rsidRPr="00A406F3">
        <w:t>YES</w:t>
      </w:r>
      <w:r w:rsidR="00587EFA">
        <w:t>,</w:t>
      </w:r>
      <w:r w:rsidR="00FC7193">
        <w:t xml:space="preserve"> </w:t>
      </w:r>
      <w:r w:rsidRPr="00333FAA">
        <w:t>as it impacts on all Wards</w:t>
      </w:r>
      <w:r w:rsidRPr="00A406F3">
        <w:t xml:space="preserve"> </w:t>
      </w:r>
    </w:p>
    <w:p w14:paraId="2A2D9472" w14:textId="08D616DF" w:rsidR="003313EA" w:rsidRPr="00052115" w:rsidRDefault="003313EA" w:rsidP="003313EA">
      <w:pPr>
        <w:pStyle w:val="Heading3"/>
        <w:spacing w:before="240"/>
        <w:rPr>
          <w:b w:val="0"/>
        </w:rPr>
      </w:pPr>
      <w:proofErr w:type="spellStart"/>
      <w:r w:rsidRPr="00052115">
        <w:t>EqIA</w:t>
      </w:r>
      <w:proofErr w:type="spellEnd"/>
      <w:r w:rsidRPr="00052115">
        <w:t xml:space="preserve"> carried out:  YES</w:t>
      </w:r>
    </w:p>
    <w:p w14:paraId="31A4A4A5" w14:textId="4DDEC819" w:rsidR="003313EA" w:rsidRPr="00882357" w:rsidRDefault="00052115" w:rsidP="003313EA">
      <w:pPr>
        <w:pStyle w:val="Infotext"/>
        <w:rPr>
          <w:i/>
          <w:color w:val="FF0000"/>
          <w:sz w:val="24"/>
          <w:szCs w:val="24"/>
        </w:rPr>
      </w:pPr>
      <w:r>
        <w:rPr>
          <w:i/>
          <w:color w:val="FF0000"/>
          <w:sz w:val="24"/>
          <w:szCs w:val="24"/>
        </w:rPr>
        <w:t xml:space="preserve"> </w:t>
      </w:r>
    </w:p>
    <w:p w14:paraId="6B589F3A" w14:textId="4FE7FA33" w:rsidR="003313EA" w:rsidRPr="00C74DD6" w:rsidRDefault="00052115" w:rsidP="00587EFA">
      <w:pPr>
        <w:pStyle w:val="Infotext"/>
      </w:pPr>
      <w:r>
        <w:rPr>
          <w:color w:val="FF0000"/>
        </w:rPr>
        <w:t xml:space="preserve"> </w:t>
      </w:r>
      <w:proofErr w:type="spellStart"/>
      <w:r w:rsidR="003313EA" w:rsidRPr="00C74DD6">
        <w:t>EqIA</w:t>
      </w:r>
      <w:proofErr w:type="spellEnd"/>
      <w:r w:rsidR="003313EA" w:rsidRPr="00C74DD6">
        <w:t xml:space="preserve"> cleared </w:t>
      </w:r>
      <w:proofErr w:type="gramStart"/>
      <w:r w:rsidR="003313EA" w:rsidRPr="00C74DD6">
        <w:t>by:</w:t>
      </w:r>
      <w:proofErr w:type="gramEnd"/>
      <w:r w:rsidR="003313EA" w:rsidRPr="00C74DD6">
        <w:t xml:space="preserve"> </w:t>
      </w:r>
      <w:r w:rsidRPr="00C74DD6">
        <w:t xml:space="preserve">Ealing </w:t>
      </w:r>
      <w:r w:rsidR="00871891">
        <w:t>(as they are the lead borough)</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38C6DA41" w14:textId="738EEE58" w:rsidR="00CF0C4B" w:rsidRPr="00BB1785" w:rsidRDefault="007958D5" w:rsidP="00587EFA">
      <w:pPr>
        <w:pStyle w:val="Infotext"/>
      </w:pPr>
      <w:r>
        <w:rPr>
          <w:b/>
        </w:rPr>
        <w:t xml:space="preserve">Harrow </w:t>
      </w:r>
      <w:r w:rsidR="00333FAA" w:rsidRPr="004E47FC">
        <w:rPr>
          <w:b/>
        </w:rPr>
        <w:t xml:space="preserve">Contact:  </w:t>
      </w:r>
      <w:r w:rsidR="00CF0C4B">
        <w:t>Andrew Campion</w:t>
      </w:r>
      <w:r w:rsidR="00587EFA">
        <w:t xml:space="preserve">, </w:t>
      </w:r>
      <w:r w:rsidR="00CF0C4B" w:rsidRPr="00BB1785">
        <w:t>Head of Asset Management</w:t>
      </w:r>
    </w:p>
    <w:p w14:paraId="550CC19B" w14:textId="6B21F57E" w:rsidR="00CF0C4B" w:rsidRPr="00BB1785" w:rsidRDefault="00CF0C4B" w:rsidP="00CF0C4B">
      <w:pPr>
        <w:pStyle w:val="Infotext"/>
        <w:ind w:left="720" w:firstLine="720"/>
      </w:pPr>
      <w:r w:rsidRPr="00BB1785">
        <w:lastRenderedPageBreak/>
        <w:t>0208 424 1339</w:t>
      </w:r>
      <w:r w:rsidR="00587EFA">
        <w:t xml:space="preserve">, </w:t>
      </w:r>
      <w:hyperlink r:id="rId18" w:history="1">
        <w:r w:rsidR="00587EFA" w:rsidRPr="00447F23">
          <w:rPr>
            <w:rStyle w:val="Hyperlink"/>
          </w:rPr>
          <w:t>Andrew.Campion@harrow.gov.uk</w:t>
        </w:r>
      </w:hyperlink>
      <w:r w:rsidR="00587EFA">
        <w:t xml:space="preserve"> </w:t>
      </w:r>
    </w:p>
    <w:p w14:paraId="656C3C63" w14:textId="77777777" w:rsidR="00CF0C4B" w:rsidRDefault="00CF0C4B" w:rsidP="00CF0C4B">
      <w:pPr>
        <w:pStyle w:val="Infotext"/>
        <w:rPr>
          <w:b/>
        </w:rPr>
      </w:pPr>
    </w:p>
    <w:p w14:paraId="0005C0E4" w14:textId="03609993" w:rsidR="00333FAA" w:rsidRPr="005808FB" w:rsidRDefault="00CE3FDB" w:rsidP="00CC18AC">
      <w:pPr>
        <w:pStyle w:val="Infotext"/>
        <w:spacing w:after="240"/>
        <w:rPr>
          <w:color w:val="FF0000"/>
        </w:rPr>
      </w:pPr>
      <w:r>
        <w:rPr>
          <w:b/>
        </w:rPr>
        <w:t>Consortium</w:t>
      </w:r>
      <w:r w:rsidR="00252B4C">
        <w:rPr>
          <w:b/>
        </w:rPr>
        <w:t xml:space="preserve"> </w:t>
      </w:r>
      <w:r w:rsidR="00CF0C4B" w:rsidRPr="004E47FC">
        <w:rPr>
          <w:b/>
        </w:rPr>
        <w:t xml:space="preserve">Contact:  </w:t>
      </w:r>
      <w:r w:rsidR="00CF0C4B" w:rsidRPr="00C74DD6">
        <w:t>Tania Jennings</w:t>
      </w:r>
      <w:r w:rsidR="00C74DD6" w:rsidRPr="00C74DD6">
        <w:t xml:space="preserve"> </w:t>
      </w:r>
      <w:r w:rsidR="00C74DD6">
        <w:t>(</w:t>
      </w:r>
      <w:r w:rsidR="00C74DD6" w:rsidRPr="00C74DD6">
        <w:t>Ealing Council Lead</w:t>
      </w:r>
      <w:r w:rsidR="00C74DD6">
        <w:t>)</w:t>
      </w:r>
    </w:p>
    <w:p w14:paraId="472E841D" w14:textId="77777777" w:rsidR="00252B4C" w:rsidRDefault="00333FAA" w:rsidP="00CC18AC">
      <w:pPr>
        <w:pStyle w:val="Infotext"/>
        <w:spacing w:after="240"/>
        <w:rPr>
          <w:b/>
        </w:rPr>
      </w:pPr>
      <w:r w:rsidRPr="004E47FC">
        <w:rPr>
          <w:b/>
        </w:rPr>
        <w:t xml:space="preserve">Background Papers: </w:t>
      </w:r>
      <w:r w:rsidR="005808FB">
        <w:rPr>
          <w:b/>
        </w:rPr>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2B8F2461" w:rsidR="000D4E36" w:rsidRPr="00ED6776" w:rsidRDefault="00842757" w:rsidP="00587EFA">
      <w:pPr>
        <w:pStyle w:val="Infotext"/>
        <w:spacing w:before="240"/>
        <w:rPr>
          <w:rFonts w:cs="Arial"/>
          <w:i/>
          <w:sz w:val="24"/>
          <w:szCs w:val="24"/>
          <w:lang w:eastAsia="en-GB"/>
        </w:rPr>
      </w:pPr>
      <w:r w:rsidRPr="003D78F6">
        <w:rPr>
          <w:b/>
        </w:rPr>
        <w:t xml:space="preserve">NO </w:t>
      </w:r>
    </w:p>
    <w:sectPr w:rsidR="000D4E36" w:rsidRPr="00ED6776"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0E7FF" w14:textId="77777777" w:rsidR="00BE3CAD" w:rsidRDefault="00BE3CAD">
      <w:r>
        <w:separator/>
      </w:r>
    </w:p>
  </w:endnote>
  <w:endnote w:type="continuationSeparator" w:id="0">
    <w:p w14:paraId="6B5B9CD9" w14:textId="77777777" w:rsidR="00BE3CAD" w:rsidRDefault="00BE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C17D" w14:textId="77777777" w:rsidR="00BE3CAD" w:rsidRDefault="00BE3CAD">
      <w:r>
        <w:separator/>
      </w:r>
    </w:p>
  </w:footnote>
  <w:footnote w:type="continuationSeparator" w:id="0">
    <w:p w14:paraId="7FD9C519" w14:textId="77777777" w:rsidR="00BE3CAD" w:rsidRDefault="00BE3CAD">
      <w:r>
        <w:continuationSeparator/>
      </w:r>
    </w:p>
  </w:footnote>
  <w:footnote w:id="1">
    <w:p w14:paraId="0FCC0801" w14:textId="77777777" w:rsidR="00125A65" w:rsidRDefault="00125A65" w:rsidP="00A324C6">
      <w:pPr>
        <w:pStyle w:val="FootnoteText"/>
      </w:pPr>
      <w:r>
        <w:t>1 * indicates new partners to Phase 2</w:t>
      </w:r>
    </w:p>
  </w:footnote>
  <w:footnote w:id="2">
    <w:p w14:paraId="7623AB30" w14:textId="77777777" w:rsidR="00125A65" w:rsidRDefault="00125A65" w:rsidP="00DC7E96">
      <w:pPr>
        <w:pStyle w:val="FootnoteText"/>
      </w:pPr>
      <w:r>
        <w:t>1 * indicates new partners to Phase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42D"/>
    <w:multiLevelType w:val="multilevel"/>
    <w:tmpl w:val="8AFA3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B7320"/>
    <w:multiLevelType w:val="hybridMultilevel"/>
    <w:tmpl w:val="AEFC84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6C1521"/>
    <w:multiLevelType w:val="multilevel"/>
    <w:tmpl w:val="8C426C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FE5C59"/>
    <w:multiLevelType w:val="multilevel"/>
    <w:tmpl w:val="3CCA7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B4304"/>
    <w:multiLevelType w:val="hybridMultilevel"/>
    <w:tmpl w:val="6C4614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9609A0"/>
    <w:multiLevelType w:val="multilevel"/>
    <w:tmpl w:val="EF3EAC92"/>
    <w:lvl w:ilvl="0">
      <w:start w:val="15"/>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9D09A4"/>
    <w:multiLevelType w:val="multilevel"/>
    <w:tmpl w:val="F2880836"/>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8E1A50"/>
    <w:multiLevelType w:val="hybridMultilevel"/>
    <w:tmpl w:val="872ADD1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2792"/>
    <w:multiLevelType w:val="hybridMultilevel"/>
    <w:tmpl w:val="4CBC3A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61BD8"/>
    <w:multiLevelType w:val="hybridMultilevel"/>
    <w:tmpl w:val="5CF48E5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9239B"/>
    <w:multiLevelType w:val="multilevel"/>
    <w:tmpl w:val="301646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F7553"/>
    <w:multiLevelType w:val="hybridMultilevel"/>
    <w:tmpl w:val="941A1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22B5F1A"/>
    <w:multiLevelType w:val="hybridMultilevel"/>
    <w:tmpl w:val="5E80DE6E"/>
    <w:lvl w:ilvl="0" w:tplc="A3209832">
      <w:numFmt w:val="bullet"/>
      <w:lvlText w:val="-"/>
      <w:lvlJc w:val="left"/>
      <w:pPr>
        <w:ind w:left="1300" w:hanging="360"/>
      </w:pPr>
      <w:rPr>
        <w:rFonts w:ascii="Arial" w:eastAsia="Arial" w:hAnsi="Arial" w:cs="Arial" w:hint="default"/>
        <w:b w:val="0"/>
        <w:bCs w:val="0"/>
        <w:i w:val="0"/>
        <w:iCs w:val="0"/>
        <w:w w:val="99"/>
        <w:sz w:val="24"/>
        <w:szCs w:val="24"/>
        <w:lang w:val="en-GB" w:eastAsia="en-US" w:bidi="ar-SA"/>
      </w:rPr>
    </w:lvl>
    <w:lvl w:ilvl="1" w:tplc="373C431E">
      <w:numFmt w:val="bullet"/>
      <w:lvlText w:val="•"/>
      <w:lvlJc w:val="left"/>
      <w:pPr>
        <w:ind w:left="2184" w:hanging="360"/>
      </w:pPr>
      <w:rPr>
        <w:rFonts w:hint="default"/>
        <w:lang w:val="en-GB" w:eastAsia="en-US" w:bidi="ar-SA"/>
      </w:rPr>
    </w:lvl>
    <w:lvl w:ilvl="2" w:tplc="62D60AC6">
      <w:numFmt w:val="bullet"/>
      <w:lvlText w:val="•"/>
      <w:lvlJc w:val="left"/>
      <w:pPr>
        <w:ind w:left="3069" w:hanging="360"/>
      </w:pPr>
      <w:rPr>
        <w:rFonts w:hint="default"/>
        <w:lang w:val="en-GB" w:eastAsia="en-US" w:bidi="ar-SA"/>
      </w:rPr>
    </w:lvl>
    <w:lvl w:ilvl="3" w:tplc="B44A26F4">
      <w:numFmt w:val="bullet"/>
      <w:lvlText w:val="•"/>
      <w:lvlJc w:val="left"/>
      <w:pPr>
        <w:ind w:left="3954" w:hanging="360"/>
      </w:pPr>
      <w:rPr>
        <w:rFonts w:hint="default"/>
        <w:lang w:val="en-GB" w:eastAsia="en-US" w:bidi="ar-SA"/>
      </w:rPr>
    </w:lvl>
    <w:lvl w:ilvl="4" w:tplc="C39CCFE8">
      <w:numFmt w:val="bullet"/>
      <w:lvlText w:val="•"/>
      <w:lvlJc w:val="left"/>
      <w:pPr>
        <w:ind w:left="4839" w:hanging="360"/>
      </w:pPr>
      <w:rPr>
        <w:rFonts w:hint="default"/>
        <w:lang w:val="en-GB" w:eastAsia="en-US" w:bidi="ar-SA"/>
      </w:rPr>
    </w:lvl>
    <w:lvl w:ilvl="5" w:tplc="7CBC9C78">
      <w:numFmt w:val="bullet"/>
      <w:lvlText w:val="•"/>
      <w:lvlJc w:val="left"/>
      <w:pPr>
        <w:ind w:left="5724" w:hanging="360"/>
      </w:pPr>
      <w:rPr>
        <w:rFonts w:hint="default"/>
        <w:lang w:val="en-GB" w:eastAsia="en-US" w:bidi="ar-SA"/>
      </w:rPr>
    </w:lvl>
    <w:lvl w:ilvl="6" w:tplc="3EE43242">
      <w:numFmt w:val="bullet"/>
      <w:lvlText w:val="•"/>
      <w:lvlJc w:val="left"/>
      <w:pPr>
        <w:ind w:left="6609" w:hanging="360"/>
      </w:pPr>
      <w:rPr>
        <w:rFonts w:hint="default"/>
        <w:lang w:val="en-GB" w:eastAsia="en-US" w:bidi="ar-SA"/>
      </w:rPr>
    </w:lvl>
    <w:lvl w:ilvl="7" w:tplc="9F062D8A">
      <w:numFmt w:val="bullet"/>
      <w:lvlText w:val="•"/>
      <w:lvlJc w:val="left"/>
      <w:pPr>
        <w:ind w:left="7494" w:hanging="360"/>
      </w:pPr>
      <w:rPr>
        <w:rFonts w:hint="default"/>
        <w:lang w:val="en-GB" w:eastAsia="en-US" w:bidi="ar-SA"/>
      </w:rPr>
    </w:lvl>
    <w:lvl w:ilvl="8" w:tplc="70505000">
      <w:numFmt w:val="bullet"/>
      <w:lvlText w:val="•"/>
      <w:lvlJc w:val="left"/>
      <w:pPr>
        <w:ind w:left="8379" w:hanging="360"/>
      </w:pPr>
      <w:rPr>
        <w:rFonts w:hint="default"/>
        <w:lang w:val="en-GB" w:eastAsia="en-US" w:bidi="ar-SA"/>
      </w:rPr>
    </w:lvl>
  </w:abstractNum>
  <w:abstractNum w:abstractNumId="16" w15:restartNumberingAfterBreak="0">
    <w:nsid w:val="34D76A58"/>
    <w:multiLevelType w:val="multilevel"/>
    <w:tmpl w:val="ED3A5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A711E"/>
    <w:multiLevelType w:val="hybridMultilevel"/>
    <w:tmpl w:val="FA8C8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A50A1"/>
    <w:multiLevelType w:val="multilevel"/>
    <w:tmpl w:val="0A363DC2"/>
    <w:lvl w:ilvl="0">
      <w:start w:val="1"/>
      <w:numFmt w:val="decimal"/>
      <w:lvlText w:val="%1."/>
      <w:lvlJc w:val="left"/>
      <w:pPr>
        <w:ind w:left="786" w:hanging="360"/>
      </w:pPr>
      <w:rPr>
        <w:rFonts w:hint="default"/>
        <w:color w:val="auto"/>
      </w:rPr>
    </w:lvl>
    <w:lvl w:ilvl="1">
      <w:start w:val="1"/>
      <w:numFmt w:val="decimal"/>
      <w:isLgl/>
      <w:lvlText w:val="%1.%2"/>
      <w:lvlJc w:val="left"/>
      <w:pPr>
        <w:ind w:left="765" w:hanging="405"/>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BB46FF"/>
    <w:multiLevelType w:val="hybridMultilevel"/>
    <w:tmpl w:val="872ADD1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C239BF"/>
    <w:multiLevelType w:val="hybridMultilevel"/>
    <w:tmpl w:val="C1C09672"/>
    <w:lvl w:ilvl="0" w:tplc="EE00058A">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2"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40115"/>
    <w:multiLevelType w:val="hybridMultilevel"/>
    <w:tmpl w:val="A3683506"/>
    <w:lvl w:ilvl="0" w:tplc="B21C657C">
      <w:start w:val="1"/>
      <w:numFmt w:val="lowerLetter"/>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4" w15:restartNumberingAfterBreak="0">
    <w:nsid w:val="667A14A7"/>
    <w:multiLevelType w:val="hybridMultilevel"/>
    <w:tmpl w:val="097E63E6"/>
    <w:lvl w:ilvl="0" w:tplc="2AD0ED1C">
      <w:start w:val="13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B31E7C"/>
    <w:multiLevelType w:val="hybridMultilevel"/>
    <w:tmpl w:val="872ADD1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E4769"/>
    <w:multiLevelType w:val="hybridMultilevel"/>
    <w:tmpl w:val="9CBE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EF178D"/>
    <w:multiLevelType w:val="multilevel"/>
    <w:tmpl w:val="7A847604"/>
    <w:lvl w:ilvl="0">
      <w:start w:val="15"/>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551CE"/>
    <w:multiLevelType w:val="multilevel"/>
    <w:tmpl w:val="14CA06EE"/>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5655FB"/>
    <w:multiLevelType w:val="hybridMultilevel"/>
    <w:tmpl w:val="2BC2030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7A630C12"/>
    <w:multiLevelType w:val="hybridMultilevel"/>
    <w:tmpl w:val="D5F24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17"/>
  </w:num>
  <w:num w:numId="3">
    <w:abstractNumId w:val="7"/>
  </w:num>
  <w:num w:numId="4">
    <w:abstractNumId w:val="22"/>
  </w:num>
  <w:num w:numId="5">
    <w:abstractNumId w:val="6"/>
  </w:num>
  <w:num w:numId="6">
    <w:abstractNumId w:val="8"/>
  </w:num>
  <w:num w:numId="7">
    <w:abstractNumId w:val="28"/>
  </w:num>
  <w:num w:numId="8">
    <w:abstractNumId w:val="19"/>
  </w:num>
  <w:num w:numId="9">
    <w:abstractNumId w:val="24"/>
  </w:num>
  <w:num w:numId="10">
    <w:abstractNumId w:val="13"/>
  </w:num>
  <w:num w:numId="11">
    <w:abstractNumId w:val="3"/>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9"/>
  </w:num>
  <w:num w:numId="19">
    <w:abstractNumId w:val="10"/>
  </w:num>
  <w:num w:numId="20">
    <w:abstractNumId w:val="5"/>
  </w:num>
  <w:num w:numId="21">
    <w:abstractNumId w:val="27"/>
  </w:num>
  <w:num w:numId="22">
    <w:abstractNumId w:val="14"/>
  </w:num>
  <w:num w:numId="23">
    <w:abstractNumId w:val="1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num>
  <w:num w:numId="27">
    <w:abstractNumId w:val="20"/>
  </w:num>
  <w:num w:numId="28">
    <w:abstractNumId w:val="25"/>
  </w:num>
  <w:num w:numId="29">
    <w:abstractNumId w:val="26"/>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AA"/>
    <w:rsid w:val="0000089B"/>
    <w:rsid w:val="00002E7C"/>
    <w:rsid w:val="00002F2F"/>
    <w:rsid w:val="0000395D"/>
    <w:rsid w:val="000054DC"/>
    <w:rsid w:val="00012C11"/>
    <w:rsid w:val="0001348C"/>
    <w:rsid w:val="0001581D"/>
    <w:rsid w:val="00020A19"/>
    <w:rsid w:val="000222BD"/>
    <w:rsid w:val="00023163"/>
    <w:rsid w:val="0002475F"/>
    <w:rsid w:val="000251C0"/>
    <w:rsid w:val="00036FD1"/>
    <w:rsid w:val="0004029A"/>
    <w:rsid w:val="00041711"/>
    <w:rsid w:val="00043F48"/>
    <w:rsid w:val="00045E51"/>
    <w:rsid w:val="000474E3"/>
    <w:rsid w:val="00051377"/>
    <w:rsid w:val="00052115"/>
    <w:rsid w:val="00055865"/>
    <w:rsid w:val="000558E9"/>
    <w:rsid w:val="00055CD6"/>
    <w:rsid w:val="0005616D"/>
    <w:rsid w:val="0006034E"/>
    <w:rsid w:val="00063783"/>
    <w:rsid w:val="000667B2"/>
    <w:rsid w:val="00066BD4"/>
    <w:rsid w:val="000725AB"/>
    <w:rsid w:val="00073765"/>
    <w:rsid w:val="000816D6"/>
    <w:rsid w:val="000841F1"/>
    <w:rsid w:val="00087D68"/>
    <w:rsid w:val="000924FE"/>
    <w:rsid w:val="000929A6"/>
    <w:rsid w:val="00097E08"/>
    <w:rsid w:val="000A336D"/>
    <w:rsid w:val="000A4F21"/>
    <w:rsid w:val="000A743D"/>
    <w:rsid w:val="000B3768"/>
    <w:rsid w:val="000B5015"/>
    <w:rsid w:val="000B5E53"/>
    <w:rsid w:val="000B788F"/>
    <w:rsid w:val="000B7C66"/>
    <w:rsid w:val="000C0EC8"/>
    <w:rsid w:val="000C4137"/>
    <w:rsid w:val="000C530C"/>
    <w:rsid w:val="000D14A5"/>
    <w:rsid w:val="000D15B2"/>
    <w:rsid w:val="000D1BCC"/>
    <w:rsid w:val="000D4E36"/>
    <w:rsid w:val="000E5937"/>
    <w:rsid w:val="000E62FE"/>
    <w:rsid w:val="000F1300"/>
    <w:rsid w:val="000F2892"/>
    <w:rsid w:val="000F3743"/>
    <w:rsid w:val="000F75DF"/>
    <w:rsid w:val="00100C1E"/>
    <w:rsid w:val="00101A85"/>
    <w:rsid w:val="001024C3"/>
    <w:rsid w:val="00103467"/>
    <w:rsid w:val="00104019"/>
    <w:rsid w:val="00105441"/>
    <w:rsid w:val="00112645"/>
    <w:rsid w:val="00113829"/>
    <w:rsid w:val="00113B16"/>
    <w:rsid w:val="001161E4"/>
    <w:rsid w:val="00117B1B"/>
    <w:rsid w:val="001201F7"/>
    <w:rsid w:val="00120D7F"/>
    <w:rsid w:val="00122796"/>
    <w:rsid w:val="00124B80"/>
    <w:rsid w:val="00125A26"/>
    <w:rsid w:val="00125A65"/>
    <w:rsid w:val="001264EE"/>
    <w:rsid w:val="00127C40"/>
    <w:rsid w:val="00130F21"/>
    <w:rsid w:val="001341EE"/>
    <w:rsid w:val="00143DDF"/>
    <w:rsid w:val="00144FE7"/>
    <w:rsid w:val="00146D2D"/>
    <w:rsid w:val="0014719F"/>
    <w:rsid w:val="001472A8"/>
    <w:rsid w:val="00147D09"/>
    <w:rsid w:val="00153116"/>
    <w:rsid w:val="0015376F"/>
    <w:rsid w:val="001540EE"/>
    <w:rsid w:val="00154823"/>
    <w:rsid w:val="0015542C"/>
    <w:rsid w:val="00160D79"/>
    <w:rsid w:val="001614E0"/>
    <w:rsid w:val="00163F3C"/>
    <w:rsid w:val="00164531"/>
    <w:rsid w:val="00165059"/>
    <w:rsid w:val="00165E57"/>
    <w:rsid w:val="00166541"/>
    <w:rsid w:val="00167A73"/>
    <w:rsid w:val="00171BD8"/>
    <w:rsid w:val="001763B0"/>
    <w:rsid w:val="0017653E"/>
    <w:rsid w:val="0017727C"/>
    <w:rsid w:val="00181A4C"/>
    <w:rsid w:val="00182B01"/>
    <w:rsid w:val="00182FDD"/>
    <w:rsid w:val="00183C51"/>
    <w:rsid w:val="001840D2"/>
    <w:rsid w:val="00185C1F"/>
    <w:rsid w:val="00187131"/>
    <w:rsid w:val="00187D78"/>
    <w:rsid w:val="0019313D"/>
    <w:rsid w:val="001958A7"/>
    <w:rsid w:val="001963CC"/>
    <w:rsid w:val="001966D7"/>
    <w:rsid w:val="001A02E5"/>
    <w:rsid w:val="001A0E19"/>
    <w:rsid w:val="001A28B6"/>
    <w:rsid w:val="001A48DF"/>
    <w:rsid w:val="001A60D1"/>
    <w:rsid w:val="001B070D"/>
    <w:rsid w:val="001B2EF5"/>
    <w:rsid w:val="001B36F4"/>
    <w:rsid w:val="001B516E"/>
    <w:rsid w:val="001C3032"/>
    <w:rsid w:val="001C44FE"/>
    <w:rsid w:val="001C4D2E"/>
    <w:rsid w:val="001C7E35"/>
    <w:rsid w:val="001D0C6A"/>
    <w:rsid w:val="001D7EC3"/>
    <w:rsid w:val="001E367B"/>
    <w:rsid w:val="001E3C06"/>
    <w:rsid w:val="001E4CB6"/>
    <w:rsid w:val="001E5EBD"/>
    <w:rsid w:val="001E6118"/>
    <w:rsid w:val="001E7581"/>
    <w:rsid w:val="001F0037"/>
    <w:rsid w:val="001F0AC5"/>
    <w:rsid w:val="001F0BE9"/>
    <w:rsid w:val="001F0EEF"/>
    <w:rsid w:val="001F1564"/>
    <w:rsid w:val="001F307A"/>
    <w:rsid w:val="001F3A6E"/>
    <w:rsid w:val="001F4D5D"/>
    <w:rsid w:val="0020044F"/>
    <w:rsid w:val="00202D79"/>
    <w:rsid w:val="00205CAB"/>
    <w:rsid w:val="00205D2F"/>
    <w:rsid w:val="002138FE"/>
    <w:rsid w:val="00215E8F"/>
    <w:rsid w:val="002166FD"/>
    <w:rsid w:val="00221990"/>
    <w:rsid w:val="00221A93"/>
    <w:rsid w:val="00223B9E"/>
    <w:rsid w:val="00223C12"/>
    <w:rsid w:val="0023061D"/>
    <w:rsid w:val="002322BB"/>
    <w:rsid w:val="002348FB"/>
    <w:rsid w:val="00234972"/>
    <w:rsid w:val="0023557A"/>
    <w:rsid w:val="0023674F"/>
    <w:rsid w:val="00237D18"/>
    <w:rsid w:val="00237DC6"/>
    <w:rsid w:val="00242302"/>
    <w:rsid w:val="00250A35"/>
    <w:rsid w:val="00251254"/>
    <w:rsid w:val="00252B4C"/>
    <w:rsid w:val="00252BAA"/>
    <w:rsid w:val="002548D1"/>
    <w:rsid w:val="00261841"/>
    <w:rsid w:val="00262E96"/>
    <w:rsid w:val="0026324A"/>
    <w:rsid w:val="0027199A"/>
    <w:rsid w:val="0027283B"/>
    <w:rsid w:val="0027293E"/>
    <w:rsid w:val="00275178"/>
    <w:rsid w:val="0027546F"/>
    <w:rsid w:val="00275B1C"/>
    <w:rsid w:val="0028019B"/>
    <w:rsid w:val="00282870"/>
    <w:rsid w:val="00282E73"/>
    <w:rsid w:val="002839FF"/>
    <w:rsid w:val="00283CAB"/>
    <w:rsid w:val="00284412"/>
    <w:rsid w:val="0028495D"/>
    <w:rsid w:val="00285227"/>
    <w:rsid w:val="0028525A"/>
    <w:rsid w:val="002916FF"/>
    <w:rsid w:val="002953FF"/>
    <w:rsid w:val="00297F0E"/>
    <w:rsid w:val="002A0154"/>
    <w:rsid w:val="002A3FEF"/>
    <w:rsid w:val="002A56DB"/>
    <w:rsid w:val="002A5D78"/>
    <w:rsid w:val="002A7891"/>
    <w:rsid w:val="002B1204"/>
    <w:rsid w:val="002B5291"/>
    <w:rsid w:val="002B54A6"/>
    <w:rsid w:val="002B620B"/>
    <w:rsid w:val="002B67B8"/>
    <w:rsid w:val="002C01C8"/>
    <w:rsid w:val="002C32A4"/>
    <w:rsid w:val="002C3A12"/>
    <w:rsid w:val="002C47AE"/>
    <w:rsid w:val="002C55B9"/>
    <w:rsid w:val="002D2F95"/>
    <w:rsid w:val="002D4378"/>
    <w:rsid w:val="002E382C"/>
    <w:rsid w:val="002E6A4F"/>
    <w:rsid w:val="002F3EE9"/>
    <w:rsid w:val="002F42F2"/>
    <w:rsid w:val="002F4A5C"/>
    <w:rsid w:val="002F618D"/>
    <w:rsid w:val="0030661C"/>
    <w:rsid w:val="00307F76"/>
    <w:rsid w:val="0031076F"/>
    <w:rsid w:val="003115BB"/>
    <w:rsid w:val="00311943"/>
    <w:rsid w:val="00315A99"/>
    <w:rsid w:val="00316D0C"/>
    <w:rsid w:val="003173D4"/>
    <w:rsid w:val="00320333"/>
    <w:rsid w:val="00321FBB"/>
    <w:rsid w:val="00325128"/>
    <w:rsid w:val="00327182"/>
    <w:rsid w:val="003278CA"/>
    <w:rsid w:val="003313EA"/>
    <w:rsid w:val="00333693"/>
    <w:rsid w:val="00333FAA"/>
    <w:rsid w:val="003355D7"/>
    <w:rsid w:val="00337D36"/>
    <w:rsid w:val="00340EB4"/>
    <w:rsid w:val="00341DA4"/>
    <w:rsid w:val="00356009"/>
    <w:rsid w:val="003575C2"/>
    <w:rsid w:val="0036099C"/>
    <w:rsid w:val="0036201C"/>
    <w:rsid w:val="003637D9"/>
    <w:rsid w:val="003711D0"/>
    <w:rsid w:val="0037178E"/>
    <w:rsid w:val="00373E54"/>
    <w:rsid w:val="00374285"/>
    <w:rsid w:val="00374E1E"/>
    <w:rsid w:val="00374EE1"/>
    <w:rsid w:val="00376768"/>
    <w:rsid w:val="003854CE"/>
    <w:rsid w:val="00385BAB"/>
    <w:rsid w:val="003945A9"/>
    <w:rsid w:val="003970D2"/>
    <w:rsid w:val="003A0C55"/>
    <w:rsid w:val="003A2D09"/>
    <w:rsid w:val="003A665B"/>
    <w:rsid w:val="003B0A77"/>
    <w:rsid w:val="003B356B"/>
    <w:rsid w:val="003B62E6"/>
    <w:rsid w:val="003B6C60"/>
    <w:rsid w:val="003C271D"/>
    <w:rsid w:val="003C4E65"/>
    <w:rsid w:val="003C7351"/>
    <w:rsid w:val="003C75E2"/>
    <w:rsid w:val="003D2A57"/>
    <w:rsid w:val="003D3D5E"/>
    <w:rsid w:val="003D4092"/>
    <w:rsid w:val="003D5F0F"/>
    <w:rsid w:val="003D636E"/>
    <w:rsid w:val="003E30E5"/>
    <w:rsid w:val="003E6BF0"/>
    <w:rsid w:val="003E70E4"/>
    <w:rsid w:val="003F1471"/>
    <w:rsid w:val="003F24AE"/>
    <w:rsid w:val="003F3AFD"/>
    <w:rsid w:val="00401282"/>
    <w:rsid w:val="00403FC6"/>
    <w:rsid w:val="004043BC"/>
    <w:rsid w:val="00406C9A"/>
    <w:rsid w:val="00407231"/>
    <w:rsid w:val="004076C8"/>
    <w:rsid w:val="0041000E"/>
    <w:rsid w:val="00412056"/>
    <w:rsid w:val="004135A3"/>
    <w:rsid w:val="00417412"/>
    <w:rsid w:val="00417F7F"/>
    <w:rsid w:val="00420684"/>
    <w:rsid w:val="004207E3"/>
    <w:rsid w:val="00421A4C"/>
    <w:rsid w:val="004223AD"/>
    <w:rsid w:val="004238C2"/>
    <w:rsid w:val="004270E4"/>
    <w:rsid w:val="00430337"/>
    <w:rsid w:val="0043063A"/>
    <w:rsid w:val="00430D1C"/>
    <w:rsid w:val="004346F1"/>
    <w:rsid w:val="00434953"/>
    <w:rsid w:val="004353CE"/>
    <w:rsid w:val="00435B5D"/>
    <w:rsid w:val="004363F7"/>
    <w:rsid w:val="004401E0"/>
    <w:rsid w:val="00441DD0"/>
    <w:rsid w:val="00442A99"/>
    <w:rsid w:val="0044414A"/>
    <w:rsid w:val="0044525C"/>
    <w:rsid w:val="004514E1"/>
    <w:rsid w:val="00454790"/>
    <w:rsid w:val="004553F1"/>
    <w:rsid w:val="00455792"/>
    <w:rsid w:val="004569EE"/>
    <w:rsid w:val="00462F0D"/>
    <w:rsid w:val="0046468C"/>
    <w:rsid w:val="00466B82"/>
    <w:rsid w:val="00471C1F"/>
    <w:rsid w:val="00471CFB"/>
    <w:rsid w:val="00473EB8"/>
    <w:rsid w:val="004759B8"/>
    <w:rsid w:val="004809FA"/>
    <w:rsid w:val="00480CA2"/>
    <w:rsid w:val="00484A75"/>
    <w:rsid w:val="0048695F"/>
    <w:rsid w:val="0049163C"/>
    <w:rsid w:val="00493A00"/>
    <w:rsid w:val="00494B35"/>
    <w:rsid w:val="00495B08"/>
    <w:rsid w:val="004960E6"/>
    <w:rsid w:val="004A0352"/>
    <w:rsid w:val="004A0954"/>
    <w:rsid w:val="004B1ECE"/>
    <w:rsid w:val="004B4967"/>
    <w:rsid w:val="004B6077"/>
    <w:rsid w:val="004C07F0"/>
    <w:rsid w:val="004C4776"/>
    <w:rsid w:val="004C4A75"/>
    <w:rsid w:val="004C571A"/>
    <w:rsid w:val="004D27CB"/>
    <w:rsid w:val="004D2DA0"/>
    <w:rsid w:val="004D50AE"/>
    <w:rsid w:val="004E02CD"/>
    <w:rsid w:val="004E14A4"/>
    <w:rsid w:val="004E4602"/>
    <w:rsid w:val="004E59F0"/>
    <w:rsid w:val="004E6317"/>
    <w:rsid w:val="004F2013"/>
    <w:rsid w:val="004F246A"/>
    <w:rsid w:val="004F4392"/>
    <w:rsid w:val="004F54BD"/>
    <w:rsid w:val="004F56C5"/>
    <w:rsid w:val="004F6875"/>
    <w:rsid w:val="00502589"/>
    <w:rsid w:val="00503850"/>
    <w:rsid w:val="00505138"/>
    <w:rsid w:val="00505F30"/>
    <w:rsid w:val="00506185"/>
    <w:rsid w:val="005071A7"/>
    <w:rsid w:val="00510A86"/>
    <w:rsid w:val="00510AF9"/>
    <w:rsid w:val="00511A1A"/>
    <w:rsid w:val="00511B7F"/>
    <w:rsid w:val="00511E57"/>
    <w:rsid w:val="005160BC"/>
    <w:rsid w:val="00517905"/>
    <w:rsid w:val="005221F7"/>
    <w:rsid w:val="00523749"/>
    <w:rsid w:val="00524AEA"/>
    <w:rsid w:val="00530006"/>
    <w:rsid w:val="0053043C"/>
    <w:rsid w:val="00531F3E"/>
    <w:rsid w:val="00532655"/>
    <w:rsid w:val="0053362C"/>
    <w:rsid w:val="005354D0"/>
    <w:rsid w:val="0053632C"/>
    <w:rsid w:val="00540370"/>
    <w:rsid w:val="00541353"/>
    <w:rsid w:val="0054172C"/>
    <w:rsid w:val="00544F23"/>
    <w:rsid w:val="00545766"/>
    <w:rsid w:val="0054590F"/>
    <w:rsid w:val="005459EC"/>
    <w:rsid w:val="00547813"/>
    <w:rsid w:val="00547F73"/>
    <w:rsid w:val="005552CA"/>
    <w:rsid w:val="005563BB"/>
    <w:rsid w:val="005564DE"/>
    <w:rsid w:val="0056383B"/>
    <w:rsid w:val="00564855"/>
    <w:rsid w:val="005718B5"/>
    <w:rsid w:val="00572DC1"/>
    <w:rsid w:val="00573097"/>
    <w:rsid w:val="005735A8"/>
    <w:rsid w:val="005769B1"/>
    <w:rsid w:val="0058066B"/>
    <w:rsid w:val="005808FB"/>
    <w:rsid w:val="005811F8"/>
    <w:rsid w:val="005816B0"/>
    <w:rsid w:val="00582605"/>
    <w:rsid w:val="00582DE3"/>
    <w:rsid w:val="0058484E"/>
    <w:rsid w:val="0058519A"/>
    <w:rsid w:val="00585FC5"/>
    <w:rsid w:val="00587907"/>
    <w:rsid w:val="00587EFA"/>
    <w:rsid w:val="00591016"/>
    <w:rsid w:val="005926F4"/>
    <w:rsid w:val="00593423"/>
    <w:rsid w:val="00594ED2"/>
    <w:rsid w:val="00595088"/>
    <w:rsid w:val="005A2CD8"/>
    <w:rsid w:val="005A478E"/>
    <w:rsid w:val="005A57BF"/>
    <w:rsid w:val="005A7468"/>
    <w:rsid w:val="005B07E2"/>
    <w:rsid w:val="005B3F67"/>
    <w:rsid w:val="005B5860"/>
    <w:rsid w:val="005C00DF"/>
    <w:rsid w:val="005C243A"/>
    <w:rsid w:val="005C2444"/>
    <w:rsid w:val="005C4840"/>
    <w:rsid w:val="005C6684"/>
    <w:rsid w:val="005C66E4"/>
    <w:rsid w:val="005D009F"/>
    <w:rsid w:val="005D0C52"/>
    <w:rsid w:val="005D3D49"/>
    <w:rsid w:val="005D41FF"/>
    <w:rsid w:val="005D511E"/>
    <w:rsid w:val="005D548F"/>
    <w:rsid w:val="005D6EF5"/>
    <w:rsid w:val="005E0217"/>
    <w:rsid w:val="005E09B5"/>
    <w:rsid w:val="005E3884"/>
    <w:rsid w:val="005E3A10"/>
    <w:rsid w:val="005E4896"/>
    <w:rsid w:val="005E5D4A"/>
    <w:rsid w:val="005E609C"/>
    <w:rsid w:val="005E660E"/>
    <w:rsid w:val="005E7509"/>
    <w:rsid w:val="005E7682"/>
    <w:rsid w:val="005F1103"/>
    <w:rsid w:val="005F7725"/>
    <w:rsid w:val="0060058C"/>
    <w:rsid w:val="00600972"/>
    <w:rsid w:val="00602FFC"/>
    <w:rsid w:val="00603CC3"/>
    <w:rsid w:val="00603FEA"/>
    <w:rsid w:val="006043C4"/>
    <w:rsid w:val="00605A4C"/>
    <w:rsid w:val="00605C92"/>
    <w:rsid w:val="00607D1E"/>
    <w:rsid w:val="006114C6"/>
    <w:rsid w:val="00611D0E"/>
    <w:rsid w:val="00612DCE"/>
    <w:rsid w:val="00613574"/>
    <w:rsid w:val="00614972"/>
    <w:rsid w:val="00626D27"/>
    <w:rsid w:val="0063309F"/>
    <w:rsid w:val="00633B6D"/>
    <w:rsid w:val="006363FC"/>
    <w:rsid w:val="0063668F"/>
    <w:rsid w:val="00641A44"/>
    <w:rsid w:val="00645426"/>
    <w:rsid w:val="00645586"/>
    <w:rsid w:val="00645B8B"/>
    <w:rsid w:val="00653B37"/>
    <w:rsid w:val="00655044"/>
    <w:rsid w:val="00655DFC"/>
    <w:rsid w:val="00660481"/>
    <w:rsid w:val="0066063E"/>
    <w:rsid w:val="0066087D"/>
    <w:rsid w:val="00663437"/>
    <w:rsid w:val="006635CC"/>
    <w:rsid w:val="00666922"/>
    <w:rsid w:val="00670A0B"/>
    <w:rsid w:val="00670F17"/>
    <w:rsid w:val="006710C7"/>
    <w:rsid w:val="00673633"/>
    <w:rsid w:val="00673F6A"/>
    <w:rsid w:val="006758FC"/>
    <w:rsid w:val="00682921"/>
    <w:rsid w:val="00683270"/>
    <w:rsid w:val="0068335E"/>
    <w:rsid w:val="00683CE3"/>
    <w:rsid w:val="006879CC"/>
    <w:rsid w:val="00694CB1"/>
    <w:rsid w:val="006955BC"/>
    <w:rsid w:val="00696A83"/>
    <w:rsid w:val="00697696"/>
    <w:rsid w:val="006A3FA5"/>
    <w:rsid w:val="006A63A2"/>
    <w:rsid w:val="006B389B"/>
    <w:rsid w:val="006B5426"/>
    <w:rsid w:val="006C580A"/>
    <w:rsid w:val="006D1E69"/>
    <w:rsid w:val="006D2E11"/>
    <w:rsid w:val="006E1DD8"/>
    <w:rsid w:val="006E35E4"/>
    <w:rsid w:val="006E5034"/>
    <w:rsid w:val="006F0058"/>
    <w:rsid w:val="006F052E"/>
    <w:rsid w:val="006F057C"/>
    <w:rsid w:val="006F1EFB"/>
    <w:rsid w:val="006F22DA"/>
    <w:rsid w:val="006F2B0C"/>
    <w:rsid w:val="006F2EB3"/>
    <w:rsid w:val="006F3308"/>
    <w:rsid w:val="006F5B1E"/>
    <w:rsid w:val="006F5F06"/>
    <w:rsid w:val="007047DF"/>
    <w:rsid w:val="00706A60"/>
    <w:rsid w:val="007074B3"/>
    <w:rsid w:val="007116B1"/>
    <w:rsid w:val="0071299F"/>
    <w:rsid w:val="00714BEE"/>
    <w:rsid w:val="00714F31"/>
    <w:rsid w:val="00716C96"/>
    <w:rsid w:val="00717B6A"/>
    <w:rsid w:val="00721215"/>
    <w:rsid w:val="007228DB"/>
    <w:rsid w:val="0072374D"/>
    <w:rsid w:val="00724E62"/>
    <w:rsid w:val="00730B2F"/>
    <w:rsid w:val="007400CF"/>
    <w:rsid w:val="007431EF"/>
    <w:rsid w:val="00745691"/>
    <w:rsid w:val="00745B1C"/>
    <w:rsid w:val="007463B6"/>
    <w:rsid w:val="0075483C"/>
    <w:rsid w:val="00754DA2"/>
    <w:rsid w:val="0075643F"/>
    <w:rsid w:val="0075749B"/>
    <w:rsid w:val="00757BAD"/>
    <w:rsid w:val="00765B7A"/>
    <w:rsid w:val="00771B5E"/>
    <w:rsid w:val="00773CF9"/>
    <w:rsid w:val="00774F53"/>
    <w:rsid w:val="0077512E"/>
    <w:rsid w:val="007762A0"/>
    <w:rsid w:val="00781189"/>
    <w:rsid w:val="0078260B"/>
    <w:rsid w:val="00784845"/>
    <w:rsid w:val="00787CDF"/>
    <w:rsid w:val="007940C5"/>
    <w:rsid w:val="00794B90"/>
    <w:rsid w:val="007958D5"/>
    <w:rsid w:val="0079668D"/>
    <w:rsid w:val="007A2D30"/>
    <w:rsid w:val="007A34B6"/>
    <w:rsid w:val="007A4B48"/>
    <w:rsid w:val="007A659D"/>
    <w:rsid w:val="007A7ECE"/>
    <w:rsid w:val="007B108C"/>
    <w:rsid w:val="007B23FC"/>
    <w:rsid w:val="007B42C7"/>
    <w:rsid w:val="007B4D9E"/>
    <w:rsid w:val="007B7468"/>
    <w:rsid w:val="007C269B"/>
    <w:rsid w:val="007C4BB7"/>
    <w:rsid w:val="007C4E8D"/>
    <w:rsid w:val="007C568C"/>
    <w:rsid w:val="007D0C1D"/>
    <w:rsid w:val="007D2000"/>
    <w:rsid w:val="007D2F57"/>
    <w:rsid w:val="007D413D"/>
    <w:rsid w:val="007D4DBF"/>
    <w:rsid w:val="007D5F49"/>
    <w:rsid w:val="007E43C8"/>
    <w:rsid w:val="007E4732"/>
    <w:rsid w:val="007E4BA4"/>
    <w:rsid w:val="007E7FA8"/>
    <w:rsid w:val="007F004E"/>
    <w:rsid w:val="007F335A"/>
    <w:rsid w:val="007F42B2"/>
    <w:rsid w:val="007F7BB9"/>
    <w:rsid w:val="0080201A"/>
    <w:rsid w:val="00802A69"/>
    <w:rsid w:val="00802ABF"/>
    <w:rsid w:val="00803104"/>
    <w:rsid w:val="00806B0B"/>
    <w:rsid w:val="00806FE2"/>
    <w:rsid w:val="0081018D"/>
    <w:rsid w:val="00810776"/>
    <w:rsid w:val="00812901"/>
    <w:rsid w:val="00816AB5"/>
    <w:rsid w:val="00821D14"/>
    <w:rsid w:val="00822FC3"/>
    <w:rsid w:val="008236C4"/>
    <w:rsid w:val="00824375"/>
    <w:rsid w:val="0082500B"/>
    <w:rsid w:val="00826B9A"/>
    <w:rsid w:val="00826C75"/>
    <w:rsid w:val="00831954"/>
    <w:rsid w:val="008320FE"/>
    <w:rsid w:val="008326C3"/>
    <w:rsid w:val="008414E4"/>
    <w:rsid w:val="00841DAE"/>
    <w:rsid w:val="00842072"/>
    <w:rsid w:val="00842757"/>
    <w:rsid w:val="00842D2F"/>
    <w:rsid w:val="00843CC2"/>
    <w:rsid w:val="008453DC"/>
    <w:rsid w:val="008505F4"/>
    <w:rsid w:val="0085266D"/>
    <w:rsid w:val="00853761"/>
    <w:rsid w:val="008539E8"/>
    <w:rsid w:val="0085772C"/>
    <w:rsid w:val="00857E91"/>
    <w:rsid w:val="00866727"/>
    <w:rsid w:val="008667E3"/>
    <w:rsid w:val="00871891"/>
    <w:rsid w:val="00872511"/>
    <w:rsid w:val="00880093"/>
    <w:rsid w:val="00881A42"/>
    <w:rsid w:val="0088234D"/>
    <w:rsid w:val="00882357"/>
    <w:rsid w:val="00882B91"/>
    <w:rsid w:val="0088362A"/>
    <w:rsid w:val="00883D7C"/>
    <w:rsid w:val="0088406B"/>
    <w:rsid w:val="0088530B"/>
    <w:rsid w:val="0088792B"/>
    <w:rsid w:val="0089449F"/>
    <w:rsid w:val="008959DC"/>
    <w:rsid w:val="00896E33"/>
    <w:rsid w:val="008A2404"/>
    <w:rsid w:val="008A4336"/>
    <w:rsid w:val="008A50FE"/>
    <w:rsid w:val="008A5AA0"/>
    <w:rsid w:val="008A616C"/>
    <w:rsid w:val="008A7F11"/>
    <w:rsid w:val="008C1985"/>
    <w:rsid w:val="008C4BB4"/>
    <w:rsid w:val="008C5256"/>
    <w:rsid w:val="008C52A1"/>
    <w:rsid w:val="008C57B6"/>
    <w:rsid w:val="008C70A3"/>
    <w:rsid w:val="008D1A24"/>
    <w:rsid w:val="008D6AFF"/>
    <w:rsid w:val="008E0DEB"/>
    <w:rsid w:val="008E224D"/>
    <w:rsid w:val="008E5A1D"/>
    <w:rsid w:val="008F4970"/>
    <w:rsid w:val="008F5829"/>
    <w:rsid w:val="0090013D"/>
    <w:rsid w:val="0090516D"/>
    <w:rsid w:val="00907AD8"/>
    <w:rsid w:val="0091018C"/>
    <w:rsid w:val="0091276D"/>
    <w:rsid w:val="00912E23"/>
    <w:rsid w:val="00913ADD"/>
    <w:rsid w:val="0091730E"/>
    <w:rsid w:val="00923B11"/>
    <w:rsid w:val="009248E8"/>
    <w:rsid w:val="0092530B"/>
    <w:rsid w:val="00926D70"/>
    <w:rsid w:val="00926F04"/>
    <w:rsid w:val="00927435"/>
    <w:rsid w:val="009341A6"/>
    <w:rsid w:val="00934C4B"/>
    <w:rsid w:val="009356A3"/>
    <w:rsid w:val="00936DD8"/>
    <w:rsid w:val="009371EC"/>
    <w:rsid w:val="00937832"/>
    <w:rsid w:val="00941B87"/>
    <w:rsid w:val="0094208C"/>
    <w:rsid w:val="00942F17"/>
    <w:rsid w:val="00943236"/>
    <w:rsid w:val="0094368B"/>
    <w:rsid w:val="00946F0F"/>
    <w:rsid w:val="009502F7"/>
    <w:rsid w:val="00952856"/>
    <w:rsid w:val="00952CEF"/>
    <w:rsid w:val="00955421"/>
    <w:rsid w:val="009642F0"/>
    <w:rsid w:val="00964896"/>
    <w:rsid w:val="00965792"/>
    <w:rsid w:val="00965EA2"/>
    <w:rsid w:val="00966C52"/>
    <w:rsid w:val="009764C9"/>
    <w:rsid w:val="009802E0"/>
    <w:rsid w:val="00981307"/>
    <w:rsid w:val="009823A1"/>
    <w:rsid w:val="00982819"/>
    <w:rsid w:val="00986BDF"/>
    <w:rsid w:val="00986DBA"/>
    <w:rsid w:val="00990507"/>
    <w:rsid w:val="00990E9C"/>
    <w:rsid w:val="00993865"/>
    <w:rsid w:val="0099425C"/>
    <w:rsid w:val="00994542"/>
    <w:rsid w:val="00994908"/>
    <w:rsid w:val="009951E5"/>
    <w:rsid w:val="00995B50"/>
    <w:rsid w:val="009A09C3"/>
    <w:rsid w:val="009A26C7"/>
    <w:rsid w:val="009A461D"/>
    <w:rsid w:val="009A6E77"/>
    <w:rsid w:val="009B04EB"/>
    <w:rsid w:val="009B160B"/>
    <w:rsid w:val="009B1D01"/>
    <w:rsid w:val="009B4495"/>
    <w:rsid w:val="009C1F70"/>
    <w:rsid w:val="009C237B"/>
    <w:rsid w:val="009C31F4"/>
    <w:rsid w:val="009C3D1B"/>
    <w:rsid w:val="009C4E5D"/>
    <w:rsid w:val="009C7875"/>
    <w:rsid w:val="009D1054"/>
    <w:rsid w:val="009D121B"/>
    <w:rsid w:val="009D33CC"/>
    <w:rsid w:val="009D4450"/>
    <w:rsid w:val="009D5ED5"/>
    <w:rsid w:val="009D75B9"/>
    <w:rsid w:val="009D788C"/>
    <w:rsid w:val="009E08A3"/>
    <w:rsid w:val="009E5A93"/>
    <w:rsid w:val="009F2F03"/>
    <w:rsid w:val="009F3154"/>
    <w:rsid w:val="009F7493"/>
    <w:rsid w:val="00A00818"/>
    <w:rsid w:val="00A01C51"/>
    <w:rsid w:val="00A033CA"/>
    <w:rsid w:val="00A039F1"/>
    <w:rsid w:val="00A07494"/>
    <w:rsid w:val="00A07C04"/>
    <w:rsid w:val="00A103D9"/>
    <w:rsid w:val="00A1211C"/>
    <w:rsid w:val="00A149A6"/>
    <w:rsid w:val="00A20113"/>
    <w:rsid w:val="00A208FA"/>
    <w:rsid w:val="00A20D78"/>
    <w:rsid w:val="00A210B8"/>
    <w:rsid w:val="00A2215F"/>
    <w:rsid w:val="00A22839"/>
    <w:rsid w:val="00A23E19"/>
    <w:rsid w:val="00A25084"/>
    <w:rsid w:val="00A257A1"/>
    <w:rsid w:val="00A30CA7"/>
    <w:rsid w:val="00A311C5"/>
    <w:rsid w:val="00A31F2B"/>
    <w:rsid w:val="00A324C6"/>
    <w:rsid w:val="00A33185"/>
    <w:rsid w:val="00A369A8"/>
    <w:rsid w:val="00A37C9B"/>
    <w:rsid w:val="00A40E0F"/>
    <w:rsid w:val="00A41206"/>
    <w:rsid w:val="00A4383F"/>
    <w:rsid w:val="00A45BCF"/>
    <w:rsid w:val="00A46113"/>
    <w:rsid w:val="00A46C0A"/>
    <w:rsid w:val="00A50402"/>
    <w:rsid w:val="00A52617"/>
    <w:rsid w:val="00A53B04"/>
    <w:rsid w:val="00A62187"/>
    <w:rsid w:val="00A6447C"/>
    <w:rsid w:val="00A661F4"/>
    <w:rsid w:val="00A66326"/>
    <w:rsid w:val="00A67A5B"/>
    <w:rsid w:val="00A67D03"/>
    <w:rsid w:val="00A72645"/>
    <w:rsid w:val="00A7271A"/>
    <w:rsid w:val="00A74750"/>
    <w:rsid w:val="00A74925"/>
    <w:rsid w:val="00A80B68"/>
    <w:rsid w:val="00A81E19"/>
    <w:rsid w:val="00A824A3"/>
    <w:rsid w:val="00A83F19"/>
    <w:rsid w:val="00A84B49"/>
    <w:rsid w:val="00A8508B"/>
    <w:rsid w:val="00A866D2"/>
    <w:rsid w:val="00A879DE"/>
    <w:rsid w:val="00A90728"/>
    <w:rsid w:val="00A90C67"/>
    <w:rsid w:val="00A917B6"/>
    <w:rsid w:val="00A91EDB"/>
    <w:rsid w:val="00A93BAC"/>
    <w:rsid w:val="00A971AC"/>
    <w:rsid w:val="00AA4C94"/>
    <w:rsid w:val="00AA4E8E"/>
    <w:rsid w:val="00AA54CE"/>
    <w:rsid w:val="00AA5C15"/>
    <w:rsid w:val="00AB3AA4"/>
    <w:rsid w:val="00AB795F"/>
    <w:rsid w:val="00AC3DAF"/>
    <w:rsid w:val="00AC6312"/>
    <w:rsid w:val="00AC73E4"/>
    <w:rsid w:val="00AD1E77"/>
    <w:rsid w:val="00AD3E20"/>
    <w:rsid w:val="00AD53BC"/>
    <w:rsid w:val="00AD6D80"/>
    <w:rsid w:val="00AE368E"/>
    <w:rsid w:val="00AE3DA2"/>
    <w:rsid w:val="00AE631E"/>
    <w:rsid w:val="00AF30EF"/>
    <w:rsid w:val="00AF7246"/>
    <w:rsid w:val="00B00612"/>
    <w:rsid w:val="00B007CF"/>
    <w:rsid w:val="00B01A07"/>
    <w:rsid w:val="00B03D26"/>
    <w:rsid w:val="00B109AE"/>
    <w:rsid w:val="00B1160D"/>
    <w:rsid w:val="00B119E7"/>
    <w:rsid w:val="00B12017"/>
    <w:rsid w:val="00B12862"/>
    <w:rsid w:val="00B139F1"/>
    <w:rsid w:val="00B14C10"/>
    <w:rsid w:val="00B171BC"/>
    <w:rsid w:val="00B1759C"/>
    <w:rsid w:val="00B177A3"/>
    <w:rsid w:val="00B22FBF"/>
    <w:rsid w:val="00B26E35"/>
    <w:rsid w:val="00B31276"/>
    <w:rsid w:val="00B32DE9"/>
    <w:rsid w:val="00B342D9"/>
    <w:rsid w:val="00B34D97"/>
    <w:rsid w:val="00B370B1"/>
    <w:rsid w:val="00B37BBF"/>
    <w:rsid w:val="00B40FD5"/>
    <w:rsid w:val="00B415E5"/>
    <w:rsid w:val="00B42009"/>
    <w:rsid w:val="00B42A2E"/>
    <w:rsid w:val="00B444E6"/>
    <w:rsid w:val="00B52011"/>
    <w:rsid w:val="00B53B3E"/>
    <w:rsid w:val="00B53EFF"/>
    <w:rsid w:val="00B54AFA"/>
    <w:rsid w:val="00B5693E"/>
    <w:rsid w:val="00B62037"/>
    <w:rsid w:val="00B63778"/>
    <w:rsid w:val="00B671A4"/>
    <w:rsid w:val="00B73F06"/>
    <w:rsid w:val="00B77A78"/>
    <w:rsid w:val="00B800ED"/>
    <w:rsid w:val="00B804E8"/>
    <w:rsid w:val="00B86CBB"/>
    <w:rsid w:val="00B9105B"/>
    <w:rsid w:val="00B9309A"/>
    <w:rsid w:val="00B93FEC"/>
    <w:rsid w:val="00B94E97"/>
    <w:rsid w:val="00B9552A"/>
    <w:rsid w:val="00B963EC"/>
    <w:rsid w:val="00B97200"/>
    <w:rsid w:val="00BA1CB8"/>
    <w:rsid w:val="00BB4238"/>
    <w:rsid w:val="00BB5462"/>
    <w:rsid w:val="00BB604D"/>
    <w:rsid w:val="00BC03F4"/>
    <w:rsid w:val="00BC1F10"/>
    <w:rsid w:val="00BC206C"/>
    <w:rsid w:val="00BC431A"/>
    <w:rsid w:val="00BC431D"/>
    <w:rsid w:val="00BC5035"/>
    <w:rsid w:val="00BC5527"/>
    <w:rsid w:val="00BC6DBC"/>
    <w:rsid w:val="00BD1385"/>
    <w:rsid w:val="00BD1DFE"/>
    <w:rsid w:val="00BD2C9F"/>
    <w:rsid w:val="00BD3A21"/>
    <w:rsid w:val="00BD4171"/>
    <w:rsid w:val="00BD534C"/>
    <w:rsid w:val="00BD5C49"/>
    <w:rsid w:val="00BD76EA"/>
    <w:rsid w:val="00BD78D4"/>
    <w:rsid w:val="00BE027D"/>
    <w:rsid w:val="00BE119D"/>
    <w:rsid w:val="00BE3CAD"/>
    <w:rsid w:val="00BE47BD"/>
    <w:rsid w:val="00BE53E4"/>
    <w:rsid w:val="00BE7965"/>
    <w:rsid w:val="00BE7C1D"/>
    <w:rsid w:val="00BF14A3"/>
    <w:rsid w:val="00BF30FA"/>
    <w:rsid w:val="00BF3646"/>
    <w:rsid w:val="00BF3E97"/>
    <w:rsid w:val="00BF6F01"/>
    <w:rsid w:val="00C01A35"/>
    <w:rsid w:val="00C0253F"/>
    <w:rsid w:val="00C03772"/>
    <w:rsid w:val="00C03C4C"/>
    <w:rsid w:val="00C04EDA"/>
    <w:rsid w:val="00C05957"/>
    <w:rsid w:val="00C0638E"/>
    <w:rsid w:val="00C1036B"/>
    <w:rsid w:val="00C119A2"/>
    <w:rsid w:val="00C12D9B"/>
    <w:rsid w:val="00C153E5"/>
    <w:rsid w:val="00C2090A"/>
    <w:rsid w:val="00C22170"/>
    <w:rsid w:val="00C24A72"/>
    <w:rsid w:val="00C30F29"/>
    <w:rsid w:val="00C31887"/>
    <w:rsid w:val="00C32E2F"/>
    <w:rsid w:val="00C431F6"/>
    <w:rsid w:val="00C43F8A"/>
    <w:rsid w:val="00C52ACD"/>
    <w:rsid w:val="00C5348D"/>
    <w:rsid w:val="00C54718"/>
    <w:rsid w:val="00C57267"/>
    <w:rsid w:val="00C60B44"/>
    <w:rsid w:val="00C60F65"/>
    <w:rsid w:val="00C616FF"/>
    <w:rsid w:val="00C62105"/>
    <w:rsid w:val="00C62B63"/>
    <w:rsid w:val="00C65582"/>
    <w:rsid w:val="00C72B5B"/>
    <w:rsid w:val="00C74DD6"/>
    <w:rsid w:val="00C84DA2"/>
    <w:rsid w:val="00C85ACA"/>
    <w:rsid w:val="00C869F3"/>
    <w:rsid w:val="00C90BB2"/>
    <w:rsid w:val="00CA29A7"/>
    <w:rsid w:val="00CA2E83"/>
    <w:rsid w:val="00CA4EF9"/>
    <w:rsid w:val="00CA5249"/>
    <w:rsid w:val="00CB4633"/>
    <w:rsid w:val="00CB57AF"/>
    <w:rsid w:val="00CB7DDE"/>
    <w:rsid w:val="00CC18AC"/>
    <w:rsid w:val="00CC22F4"/>
    <w:rsid w:val="00CC261B"/>
    <w:rsid w:val="00CC38E4"/>
    <w:rsid w:val="00CC5188"/>
    <w:rsid w:val="00CC5AAB"/>
    <w:rsid w:val="00CD233F"/>
    <w:rsid w:val="00CD3831"/>
    <w:rsid w:val="00CD7D5D"/>
    <w:rsid w:val="00CE1E5D"/>
    <w:rsid w:val="00CE3FDB"/>
    <w:rsid w:val="00CE436B"/>
    <w:rsid w:val="00CE7493"/>
    <w:rsid w:val="00CF0621"/>
    <w:rsid w:val="00CF0C4B"/>
    <w:rsid w:val="00CF0FC4"/>
    <w:rsid w:val="00CF2E22"/>
    <w:rsid w:val="00CF4069"/>
    <w:rsid w:val="00CF60C0"/>
    <w:rsid w:val="00CF6932"/>
    <w:rsid w:val="00D0116D"/>
    <w:rsid w:val="00D01FE3"/>
    <w:rsid w:val="00D02E5E"/>
    <w:rsid w:val="00D0381E"/>
    <w:rsid w:val="00D05CBF"/>
    <w:rsid w:val="00D06CA3"/>
    <w:rsid w:val="00D0724C"/>
    <w:rsid w:val="00D07A1A"/>
    <w:rsid w:val="00D07F46"/>
    <w:rsid w:val="00D15AA9"/>
    <w:rsid w:val="00D1649D"/>
    <w:rsid w:val="00D16673"/>
    <w:rsid w:val="00D170E5"/>
    <w:rsid w:val="00D1738C"/>
    <w:rsid w:val="00D2143B"/>
    <w:rsid w:val="00D229BB"/>
    <w:rsid w:val="00D27381"/>
    <w:rsid w:val="00D27A7C"/>
    <w:rsid w:val="00D3323F"/>
    <w:rsid w:val="00D354CD"/>
    <w:rsid w:val="00D37F2F"/>
    <w:rsid w:val="00D4071D"/>
    <w:rsid w:val="00D415B9"/>
    <w:rsid w:val="00D474F0"/>
    <w:rsid w:val="00D4783F"/>
    <w:rsid w:val="00D50D11"/>
    <w:rsid w:val="00D51781"/>
    <w:rsid w:val="00D51CE0"/>
    <w:rsid w:val="00D528E8"/>
    <w:rsid w:val="00D55A33"/>
    <w:rsid w:val="00D55C39"/>
    <w:rsid w:val="00D56079"/>
    <w:rsid w:val="00D57754"/>
    <w:rsid w:val="00D61C26"/>
    <w:rsid w:val="00D62D88"/>
    <w:rsid w:val="00D63AA6"/>
    <w:rsid w:val="00D66375"/>
    <w:rsid w:val="00D66463"/>
    <w:rsid w:val="00D70CAD"/>
    <w:rsid w:val="00D7201E"/>
    <w:rsid w:val="00D72234"/>
    <w:rsid w:val="00D76987"/>
    <w:rsid w:val="00D771D0"/>
    <w:rsid w:val="00D77720"/>
    <w:rsid w:val="00D7799F"/>
    <w:rsid w:val="00D829CD"/>
    <w:rsid w:val="00D82DE3"/>
    <w:rsid w:val="00D835CF"/>
    <w:rsid w:val="00D83631"/>
    <w:rsid w:val="00D84631"/>
    <w:rsid w:val="00D85377"/>
    <w:rsid w:val="00D85F83"/>
    <w:rsid w:val="00D91952"/>
    <w:rsid w:val="00D92901"/>
    <w:rsid w:val="00D938E5"/>
    <w:rsid w:val="00D947E6"/>
    <w:rsid w:val="00D9564D"/>
    <w:rsid w:val="00D96550"/>
    <w:rsid w:val="00D96814"/>
    <w:rsid w:val="00DA26FB"/>
    <w:rsid w:val="00DA36BE"/>
    <w:rsid w:val="00DA7A27"/>
    <w:rsid w:val="00DB0458"/>
    <w:rsid w:val="00DB2FC9"/>
    <w:rsid w:val="00DB6265"/>
    <w:rsid w:val="00DB6C3D"/>
    <w:rsid w:val="00DC1B96"/>
    <w:rsid w:val="00DC32A8"/>
    <w:rsid w:val="00DC38CE"/>
    <w:rsid w:val="00DC3E05"/>
    <w:rsid w:val="00DC4C0D"/>
    <w:rsid w:val="00DC5ACF"/>
    <w:rsid w:val="00DC7E96"/>
    <w:rsid w:val="00DD3573"/>
    <w:rsid w:val="00DD7468"/>
    <w:rsid w:val="00DE25E9"/>
    <w:rsid w:val="00DE46E1"/>
    <w:rsid w:val="00DE71D3"/>
    <w:rsid w:val="00DE72CF"/>
    <w:rsid w:val="00DE7309"/>
    <w:rsid w:val="00DF08A0"/>
    <w:rsid w:val="00DF145B"/>
    <w:rsid w:val="00DF24D8"/>
    <w:rsid w:val="00DF2D0B"/>
    <w:rsid w:val="00DF470F"/>
    <w:rsid w:val="00DF48DA"/>
    <w:rsid w:val="00DF6306"/>
    <w:rsid w:val="00DF7201"/>
    <w:rsid w:val="00E0363B"/>
    <w:rsid w:val="00E05C33"/>
    <w:rsid w:val="00E06C7F"/>
    <w:rsid w:val="00E13BEF"/>
    <w:rsid w:val="00E1700F"/>
    <w:rsid w:val="00E22DC1"/>
    <w:rsid w:val="00E2319E"/>
    <w:rsid w:val="00E25FC3"/>
    <w:rsid w:val="00E278B3"/>
    <w:rsid w:val="00E32572"/>
    <w:rsid w:val="00E327C7"/>
    <w:rsid w:val="00E34F54"/>
    <w:rsid w:val="00E35DDF"/>
    <w:rsid w:val="00E37BEE"/>
    <w:rsid w:val="00E402BC"/>
    <w:rsid w:val="00E413EC"/>
    <w:rsid w:val="00E44683"/>
    <w:rsid w:val="00E51002"/>
    <w:rsid w:val="00E52D42"/>
    <w:rsid w:val="00E53B32"/>
    <w:rsid w:val="00E56973"/>
    <w:rsid w:val="00E60009"/>
    <w:rsid w:val="00E619E1"/>
    <w:rsid w:val="00E63605"/>
    <w:rsid w:val="00E65670"/>
    <w:rsid w:val="00E66C8B"/>
    <w:rsid w:val="00E67E0A"/>
    <w:rsid w:val="00E70760"/>
    <w:rsid w:val="00E70F8E"/>
    <w:rsid w:val="00E71A08"/>
    <w:rsid w:val="00E72A7F"/>
    <w:rsid w:val="00E80528"/>
    <w:rsid w:val="00E822F0"/>
    <w:rsid w:val="00E82ED3"/>
    <w:rsid w:val="00E84E1C"/>
    <w:rsid w:val="00E867FA"/>
    <w:rsid w:val="00E87A2E"/>
    <w:rsid w:val="00E911BF"/>
    <w:rsid w:val="00E9234E"/>
    <w:rsid w:val="00E9253C"/>
    <w:rsid w:val="00E92A22"/>
    <w:rsid w:val="00E94BDD"/>
    <w:rsid w:val="00EA156E"/>
    <w:rsid w:val="00EA2252"/>
    <w:rsid w:val="00EA373B"/>
    <w:rsid w:val="00EA5747"/>
    <w:rsid w:val="00EA5ADE"/>
    <w:rsid w:val="00EB3CF0"/>
    <w:rsid w:val="00EB40D8"/>
    <w:rsid w:val="00EB45B5"/>
    <w:rsid w:val="00EB5E57"/>
    <w:rsid w:val="00EB61DB"/>
    <w:rsid w:val="00EC0B67"/>
    <w:rsid w:val="00EC0E59"/>
    <w:rsid w:val="00EC133E"/>
    <w:rsid w:val="00EC37DE"/>
    <w:rsid w:val="00ED0219"/>
    <w:rsid w:val="00ED1AD0"/>
    <w:rsid w:val="00ED1E6E"/>
    <w:rsid w:val="00ED42A9"/>
    <w:rsid w:val="00ED497B"/>
    <w:rsid w:val="00ED4AFD"/>
    <w:rsid w:val="00ED5750"/>
    <w:rsid w:val="00ED6776"/>
    <w:rsid w:val="00ED7087"/>
    <w:rsid w:val="00ED7421"/>
    <w:rsid w:val="00EE0100"/>
    <w:rsid w:val="00EE4FBE"/>
    <w:rsid w:val="00EE56DA"/>
    <w:rsid w:val="00EE5EA9"/>
    <w:rsid w:val="00EE64FE"/>
    <w:rsid w:val="00EE7BD3"/>
    <w:rsid w:val="00EF3611"/>
    <w:rsid w:val="00EF3FDC"/>
    <w:rsid w:val="00EF4E40"/>
    <w:rsid w:val="00F038A1"/>
    <w:rsid w:val="00F059B4"/>
    <w:rsid w:val="00F06E4E"/>
    <w:rsid w:val="00F07346"/>
    <w:rsid w:val="00F146C6"/>
    <w:rsid w:val="00F14CC6"/>
    <w:rsid w:val="00F15C3A"/>
    <w:rsid w:val="00F16C3A"/>
    <w:rsid w:val="00F21D02"/>
    <w:rsid w:val="00F2275E"/>
    <w:rsid w:val="00F23472"/>
    <w:rsid w:val="00F2458C"/>
    <w:rsid w:val="00F24AFE"/>
    <w:rsid w:val="00F279EC"/>
    <w:rsid w:val="00F31DD2"/>
    <w:rsid w:val="00F33FF7"/>
    <w:rsid w:val="00F36971"/>
    <w:rsid w:val="00F42F50"/>
    <w:rsid w:val="00F43C5C"/>
    <w:rsid w:val="00F45FCB"/>
    <w:rsid w:val="00F460EE"/>
    <w:rsid w:val="00F51E01"/>
    <w:rsid w:val="00F5359B"/>
    <w:rsid w:val="00F53D11"/>
    <w:rsid w:val="00F5649A"/>
    <w:rsid w:val="00F63408"/>
    <w:rsid w:val="00F67DC5"/>
    <w:rsid w:val="00F732BE"/>
    <w:rsid w:val="00F764E6"/>
    <w:rsid w:val="00F8002D"/>
    <w:rsid w:val="00F8110B"/>
    <w:rsid w:val="00F81687"/>
    <w:rsid w:val="00F82342"/>
    <w:rsid w:val="00F85B9C"/>
    <w:rsid w:val="00F877DB"/>
    <w:rsid w:val="00F91AE4"/>
    <w:rsid w:val="00F93C8B"/>
    <w:rsid w:val="00F959DD"/>
    <w:rsid w:val="00F960D5"/>
    <w:rsid w:val="00FA3D0A"/>
    <w:rsid w:val="00FA64C0"/>
    <w:rsid w:val="00FA7DEB"/>
    <w:rsid w:val="00FB1231"/>
    <w:rsid w:val="00FB21CC"/>
    <w:rsid w:val="00FC1C5C"/>
    <w:rsid w:val="00FC7193"/>
    <w:rsid w:val="00FC7BE7"/>
    <w:rsid w:val="00FD5C94"/>
    <w:rsid w:val="00FD6522"/>
    <w:rsid w:val="00FD6A7F"/>
    <w:rsid w:val="00FE17E2"/>
    <w:rsid w:val="00FE5C1C"/>
    <w:rsid w:val="00FE68AE"/>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ADB08266-894D-4CC4-8F10-2DD9FDB4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1"/>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A4383F"/>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nhideWhenUsed/>
    <w:rsid w:val="00A4383F"/>
    <w:pPr>
      <w:spacing w:after="120"/>
      <w:ind w:left="283"/>
    </w:pPr>
    <w:rPr>
      <w:sz w:val="16"/>
      <w:szCs w:val="16"/>
    </w:rPr>
  </w:style>
  <w:style w:type="character" w:customStyle="1" w:styleId="BodyTextIndent3Char">
    <w:name w:val="Body Text Indent 3 Char"/>
    <w:basedOn w:val="DefaultParagraphFont"/>
    <w:link w:val="BodyTextIndent3"/>
    <w:rsid w:val="00A4383F"/>
    <w:rPr>
      <w:rFonts w:ascii="Arial" w:hAnsi="Arial"/>
      <w:sz w:val="16"/>
      <w:szCs w:val="16"/>
      <w:lang w:eastAsia="en-US"/>
    </w:rPr>
  </w:style>
  <w:style w:type="paragraph" w:styleId="BodyTextIndent">
    <w:name w:val="Body Text Indent"/>
    <w:basedOn w:val="Normal"/>
    <w:link w:val="BodyTextIndentChar"/>
    <w:unhideWhenUsed/>
    <w:rsid w:val="00A4383F"/>
    <w:pPr>
      <w:spacing w:after="120"/>
      <w:ind w:left="283"/>
    </w:pPr>
  </w:style>
  <w:style w:type="character" w:customStyle="1" w:styleId="BodyTextIndentChar">
    <w:name w:val="Body Text Indent Char"/>
    <w:basedOn w:val="DefaultParagraphFont"/>
    <w:link w:val="BodyTextIndent"/>
    <w:rsid w:val="00A4383F"/>
    <w:rPr>
      <w:rFonts w:ascii="Arial" w:hAnsi="Arial"/>
      <w:sz w:val="24"/>
      <w:lang w:eastAsia="en-US"/>
    </w:rPr>
  </w:style>
  <w:style w:type="character" w:styleId="CommentReference">
    <w:name w:val="annotation reference"/>
    <w:basedOn w:val="DefaultParagraphFont"/>
    <w:uiPriority w:val="99"/>
    <w:unhideWhenUsed/>
    <w:rsid w:val="00966C52"/>
    <w:rPr>
      <w:sz w:val="16"/>
      <w:szCs w:val="16"/>
    </w:rPr>
  </w:style>
  <w:style w:type="paragraph" w:styleId="CommentText">
    <w:name w:val="annotation text"/>
    <w:basedOn w:val="Normal"/>
    <w:link w:val="CommentTextChar"/>
    <w:uiPriority w:val="99"/>
    <w:unhideWhenUsed/>
    <w:rsid w:val="00966C52"/>
    <w:rPr>
      <w:sz w:val="20"/>
    </w:rPr>
  </w:style>
  <w:style w:type="character" w:customStyle="1" w:styleId="CommentTextChar">
    <w:name w:val="Comment Text Char"/>
    <w:basedOn w:val="DefaultParagraphFont"/>
    <w:link w:val="CommentText"/>
    <w:uiPriority w:val="99"/>
    <w:rsid w:val="00966C52"/>
    <w:rPr>
      <w:rFonts w:ascii="Arial" w:hAnsi="Arial"/>
      <w:lang w:eastAsia="en-US"/>
    </w:rPr>
  </w:style>
  <w:style w:type="paragraph" w:styleId="CommentSubject">
    <w:name w:val="annotation subject"/>
    <w:basedOn w:val="CommentText"/>
    <w:next w:val="CommentText"/>
    <w:link w:val="CommentSubjectChar"/>
    <w:semiHidden/>
    <w:unhideWhenUsed/>
    <w:rsid w:val="00966C52"/>
    <w:rPr>
      <w:b/>
      <w:bCs/>
    </w:rPr>
  </w:style>
  <w:style w:type="character" w:customStyle="1" w:styleId="CommentSubjectChar">
    <w:name w:val="Comment Subject Char"/>
    <w:basedOn w:val="CommentTextChar"/>
    <w:link w:val="CommentSubject"/>
    <w:semiHidden/>
    <w:rsid w:val="00966C52"/>
    <w:rPr>
      <w:rFonts w:ascii="Arial" w:hAnsi="Arial"/>
      <w:b/>
      <w:bCs/>
      <w:lang w:eastAsia="en-US"/>
    </w:rPr>
  </w:style>
  <w:style w:type="paragraph" w:styleId="Revision">
    <w:name w:val="Revision"/>
    <w:hidden/>
    <w:uiPriority w:val="99"/>
    <w:semiHidden/>
    <w:rsid w:val="0028495D"/>
    <w:rPr>
      <w:rFonts w:ascii="Arial" w:hAnsi="Arial"/>
      <w:sz w:val="24"/>
      <w:lang w:eastAsia="en-US"/>
    </w:rPr>
  </w:style>
  <w:style w:type="character" w:customStyle="1" w:styleId="normaltextrun">
    <w:name w:val="normaltextrun"/>
    <w:basedOn w:val="DefaultParagraphFont"/>
    <w:rsid w:val="001E7581"/>
  </w:style>
  <w:style w:type="character" w:customStyle="1" w:styleId="eop">
    <w:name w:val="eop"/>
    <w:basedOn w:val="DefaultParagraphFont"/>
    <w:rsid w:val="001E7581"/>
  </w:style>
  <w:style w:type="paragraph" w:customStyle="1" w:styleId="paragraph">
    <w:name w:val="paragraph"/>
    <w:basedOn w:val="Normal"/>
    <w:rsid w:val="004043BC"/>
    <w:pPr>
      <w:spacing w:before="100" w:beforeAutospacing="1" w:after="100" w:afterAutospacing="1"/>
    </w:pPr>
    <w:rPr>
      <w:rFonts w:ascii="Times New Roman" w:hAnsi="Times New Roman"/>
      <w:szCs w:val="24"/>
      <w:lang w:eastAsia="en-GB"/>
    </w:rPr>
  </w:style>
  <w:style w:type="character" w:customStyle="1" w:styleId="findhit">
    <w:name w:val="findhit"/>
    <w:basedOn w:val="DefaultParagraphFont"/>
    <w:rsid w:val="004043BC"/>
  </w:style>
  <w:style w:type="character" w:customStyle="1" w:styleId="FootnoteTextChar">
    <w:name w:val="Footnote Text Char"/>
    <w:basedOn w:val="DefaultParagraphFont"/>
    <w:link w:val="FootnoteText"/>
    <w:uiPriority w:val="99"/>
    <w:semiHidden/>
    <w:rsid w:val="00A324C6"/>
    <w:rPr>
      <w:lang w:eastAsia="en-US"/>
    </w:rPr>
  </w:style>
  <w:style w:type="character" w:styleId="UnresolvedMention">
    <w:name w:val="Unresolved Mention"/>
    <w:basedOn w:val="DefaultParagraphFont"/>
    <w:uiPriority w:val="99"/>
    <w:semiHidden/>
    <w:unhideWhenUsed/>
    <w:rsid w:val="00587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25742297">
      <w:bodyDiv w:val="1"/>
      <w:marLeft w:val="0"/>
      <w:marRight w:val="0"/>
      <w:marTop w:val="0"/>
      <w:marBottom w:val="0"/>
      <w:divBdr>
        <w:top w:val="none" w:sz="0" w:space="0" w:color="auto"/>
        <w:left w:val="none" w:sz="0" w:space="0" w:color="auto"/>
        <w:bottom w:val="none" w:sz="0" w:space="0" w:color="auto"/>
        <w:right w:val="none" w:sz="0" w:space="0" w:color="auto"/>
      </w:divBdr>
    </w:div>
    <w:div w:id="331639025">
      <w:bodyDiv w:val="1"/>
      <w:marLeft w:val="0"/>
      <w:marRight w:val="0"/>
      <w:marTop w:val="0"/>
      <w:marBottom w:val="0"/>
      <w:divBdr>
        <w:top w:val="none" w:sz="0" w:space="0" w:color="auto"/>
        <w:left w:val="none" w:sz="0" w:space="0" w:color="auto"/>
        <w:bottom w:val="none" w:sz="0" w:space="0" w:color="auto"/>
        <w:right w:val="none" w:sz="0" w:space="0" w:color="auto"/>
      </w:divBdr>
    </w:div>
    <w:div w:id="407505805">
      <w:bodyDiv w:val="1"/>
      <w:marLeft w:val="0"/>
      <w:marRight w:val="0"/>
      <w:marTop w:val="0"/>
      <w:marBottom w:val="0"/>
      <w:divBdr>
        <w:top w:val="none" w:sz="0" w:space="0" w:color="auto"/>
        <w:left w:val="none" w:sz="0" w:space="0" w:color="auto"/>
        <w:bottom w:val="none" w:sz="0" w:space="0" w:color="auto"/>
        <w:right w:val="none" w:sz="0" w:space="0" w:color="auto"/>
      </w:divBdr>
    </w:div>
    <w:div w:id="408187719">
      <w:bodyDiv w:val="1"/>
      <w:marLeft w:val="0"/>
      <w:marRight w:val="0"/>
      <w:marTop w:val="0"/>
      <w:marBottom w:val="0"/>
      <w:divBdr>
        <w:top w:val="none" w:sz="0" w:space="0" w:color="auto"/>
        <w:left w:val="none" w:sz="0" w:space="0" w:color="auto"/>
        <w:bottom w:val="none" w:sz="0" w:space="0" w:color="auto"/>
        <w:right w:val="none" w:sz="0" w:space="0" w:color="auto"/>
      </w:divBdr>
    </w:div>
    <w:div w:id="431898505">
      <w:bodyDiv w:val="1"/>
      <w:marLeft w:val="0"/>
      <w:marRight w:val="0"/>
      <w:marTop w:val="0"/>
      <w:marBottom w:val="0"/>
      <w:divBdr>
        <w:top w:val="none" w:sz="0" w:space="0" w:color="auto"/>
        <w:left w:val="none" w:sz="0" w:space="0" w:color="auto"/>
        <w:bottom w:val="none" w:sz="0" w:space="0" w:color="auto"/>
        <w:right w:val="none" w:sz="0" w:space="0" w:color="auto"/>
      </w:divBdr>
    </w:div>
    <w:div w:id="474874081">
      <w:bodyDiv w:val="1"/>
      <w:marLeft w:val="0"/>
      <w:marRight w:val="0"/>
      <w:marTop w:val="0"/>
      <w:marBottom w:val="0"/>
      <w:divBdr>
        <w:top w:val="none" w:sz="0" w:space="0" w:color="auto"/>
        <w:left w:val="none" w:sz="0" w:space="0" w:color="auto"/>
        <w:bottom w:val="none" w:sz="0" w:space="0" w:color="auto"/>
        <w:right w:val="none" w:sz="0" w:space="0" w:color="auto"/>
      </w:divBdr>
    </w:div>
    <w:div w:id="48647801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4143093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4864034">
      <w:bodyDiv w:val="1"/>
      <w:marLeft w:val="0"/>
      <w:marRight w:val="0"/>
      <w:marTop w:val="0"/>
      <w:marBottom w:val="0"/>
      <w:divBdr>
        <w:top w:val="none" w:sz="0" w:space="0" w:color="auto"/>
        <w:left w:val="none" w:sz="0" w:space="0" w:color="auto"/>
        <w:bottom w:val="none" w:sz="0" w:space="0" w:color="auto"/>
        <w:right w:val="none" w:sz="0" w:space="0" w:color="auto"/>
      </w:divBdr>
      <w:divsChild>
        <w:div w:id="712777638">
          <w:marLeft w:val="0"/>
          <w:marRight w:val="0"/>
          <w:marTop w:val="0"/>
          <w:marBottom w:val="0"/>
          <w:divBdr>
            <w:top w:val="none" w:sz="0" w:space="0" w:color="auto"/>
            <w:left w:val="none" w:sz="0" w:space="0" w:color="auto"/>
            <w:bottom w:val="none" w:sz="0" w:space="0" w:color="auto"/>
            <w:right w:val="none" w:sz="0" w:space="0" w:color="auto"/>
          </w:divBdr>
        </w:div>
        <w:div w:id="1406417769">
          <w:marLeft w:val="0"/>
          <w:marRight w:val="0"/>
          <w:marTop w:val="0"/>
          <w:marBottom w:val="0"/>
          <w:divBdr>
            <w:top w:val="none" w:sz="0" w:space="0" w:color="auto"/>
            <w:left w:val="none" w:sz="0" w:space="0" w:color="auto"/>
            <w:bottom w:val="none" w:sz="0" w:space="0" w:color="auto"/>
            <w:right w:val="none" w:sz="0" w:space="0" w:color="auto"/>
          </w:divBdr>
        </w:div>
      </w:divsChild>
    </w:div>
    <w:div w:id="104073891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99448250">
      <w:bodyDiv w:val="1"/>
      <w:marLeft w:val="0"/>
      <w:marRight w:val="0"/>
      <w:marTop w:val="0"/>
      <w:marBottom w:val="0"/>
      <w:divBdr>
        <w:top w:val="none" w:sz="0" w:space="0" w:color="auto"/>
        <w:left w:val="none" w:sz="0" w:space="0" w:color="auto"/>
        <w:bottom w:val="none" w:sz="0" w:space="0" w:color="auto"/>
        <w:right w:val="none" w:sz="0" w:space="0" w:color="auto"/>
      </w:divBdr>
    </w:div>
    <w:div w:id="1271739098">
      <w:bodyDiv w:val="1"/>
      <w:marLeft w:val="0"/>
      <w:marRight w:val="0"/>
      <w:marTop w:val="0"/>
      <w:marBottom w:val="0"/>
      <w:divBdr>
        <w:top w:val="none" w:sz="0" w:space="0" w:color="auto"/>
        <w:left w:val="none" w:sz="0" w:space="0" w:color="auto"/>
        <w:bottom w:val="none" w:sz="0" w:space="0" w:color="auto"/>
        <w:right w:val="none" w:sz="0" w:space="0" w:color="auto"/>
      </w:divBdr>
    </w:div>
    <w:div w:id="1515680752">
      <w:bodyDiv w:val="1"/>
      <w:marLeft w:val="0"/>
      <w:marRight w:val="0"/>
      <w:marTop w:val="0"/>
      <w:marBottom w:val="0"/>
      <w:divBdr>
        <w:top w:val="none" w:sz="0" w:space="0" w:color="auto"/>
        <w:left w:val="none" w:sz="0" w:space="0" w:color="auto"/>
        <w:bottom w:val="none" w:sz="0" w:space="0" w:color="auto"/>
        <w:right w:val="none" w:sz="0" w:space="0" w:color="auto"/>
      </w:divBdr>
    </w:div>
    <w:div w:id="1529102153">
      <w:bodyDiv w:val="1"/>
      <w:marLeft w:val="0"/>
      <w:marRight w:val="0"/>
      <w:marTop w:val="0"/>
      <w:marBottom w:val="0"/>
      <w:divBdr>
        <w:top w:val="none" w:sz="0" w:space="0" w:color="auto"/>
        <w:left w:val="none" w:sz="0" w:space="0" w:color="auto"/>
        <w:bottom w:val="none" w:sz="0" w:space="0" w:color="auto"/>
        <w:right w:val="none" w:sz="0" w:space="0" w:color="auto"/>
      </w:divBdr>
    </w:div>
    <w:div w:id="1531214325">
      <w:bodyDiv w:val="1"/>
      <w:marLeft w:val="0"/>
      <w:marRight w:val="0"/>
      <w:marTop w:val="0"/>
      <w:marBottom w:val="0"/>
      <w:divBdr>
        <w:top w:val="none" w:sz="0" w:space="0" w:color="auto"/>
        <w:left w:val="none" w:sz="0" w:space="0" w:color="auto"/>
        <w:bottom w:val="none" w:sz="0" w:space="0" w:color="auto"/>
        <w:right w:val="none" w:sz="0" w:space="0" w:color="auto"/>
      </w:divBdr>
    </w:div>
    <w:div w:id="1606695693">
      <w:bodyDiv w:val="1"/>
      <w:marLeft w:val="0"/>
      <w:marRight w:val="0"/>
      <w:marTop w:val="0"/>
      <w:marBottom w:val="0"/>
      <w:divBdr>
        <w:top w:val="none" w:sz="0" w:space="0" w:color="auto"/>
        <w:left w:val="none" w:sz="0" w:space="0" w:color="auto"/>
        <w:bottom w:val="none" w:sz="0" w:space="0" w:color="auto"/>
        <w:right w:val="none" w:sz="0" w:space="0" w:color="auto"/>
      </w:divBdr>
    </w:div>
    <w:div w:id="1687827126">
      <w:bodyDiv w:val="1"/>
      <w:marLeft w:val="0"/>
      <w:marRight w:val="0"/>
      <w:marTop w:val="0"/>
      <w:marBottom w:val="0"/>
      <w:divBdr>
        <w:top w:val="none" w:sz="0" w:space="0" w:color="auto"/>
        <w:left w:val="none" w:sz="0" w:space="0" w:color="auto"/>
        <w:bottom w:val="none" w:sz="0" w:space="0" w:color="auto"/>
        <w:right w:val="none" w:sz="0" w:space="0" w:color="auto"/>
      </w:divBdr>
    </w:div>
    <w:div w:id="1800495973">
      <w:bodyDiv w:val="1"/>
      <w:marLeft w:val="0"/>
      <w:marRight w:val="0"/>
      <w:marTop w:val="0"/>
      <w:marBottom w:val="0"/>
      <w:divBdr>
        <w:top w:val="none" w:sz="0" w:space="0" w:color="auto"/>
        <w:left w:val="none" w:sz="0" w:space="0" w:color="auto"/>
        <w:bottom w:val="none" w:sz="0" w:space="0" w:color="auto"/>
        <w:right w:val="none" w:sz="0" w:space="0" w:color="auto"/>
      </w:divBdr>
    </w:div>
    <w:div w:id="1865442529">
      <w:bodyDiv w:val="1"/>
      <w:marLeft w:val="0"/>
      <w:marRight w:val="0"/>
      <w:marTop w:val="0"/>
      <w:marBottom w:val="0"/>
      <w:divBdr>
        <w:top w:val="none" w:sz="0" w:space="0" w:color="auto"/>
        <w:left w:val="none" w:sz="0" w:space="0" w:color="auto"/>
        <w:bottom w:val="none" w:sz="0" w:space="0" w:color="auto"/>
        <w:right w:val="none" w:sz="0" w:space="0" w:color="auto"/>
      </w:divBdr>
    </w:div>
    <w:div w:id="1924755950">
      <w:bodyDiv w:val="1"/>
      <w:marLeft w:val="0"/>
      <w:marRight w:val="0"/>
      <w:marTop w:val="0"/>
      <w:marBottom w:val="0"/>
      <w:divBdr>
        <w:top w:val="none" w:sz="0" w:space="0" w:color="auto"/>
        <w:left w:val="none" w:sz="0" w:space="0" w:color="auto"/>
        <w:bottom w:val="none" w:sz="0" w:space="0" w:color="auto"/>
        <w:right w:val="none" w:sz="0" w:space="0" w:color="auto"/>
      </w:divBdr>
    </w:div>
    <w:div w:id="1941140144">
      <w:bodyDiv w:val="1"/>
      <w:marLeft w:val="0"/>
      <w:marRight w:val="0"/>
      <w:marTop w:val="0"/>
      <w:marBottom w:val="0"/>
      <w:divBdr>
        <w:top w:val="none" w:sz="0" w:space="0" w:color="auto"/>
        <w:left w:val="none" w:sz="0" w:space="0" w:color="auto"/>
        <w:bottom w:val="none" w:sz="0" w:space="0" w:color="auto"/>
        <w:right w:val="none" w:sz="0" w:space="0" w:color="auto"/>
      </w:divBdr>
    </w:div>
    <w:div w:id="21095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ink/ink1.xml"/><Relationship Id="rId18" Type="http://schemas.openxmlformats.org/officeDocument/2006/relationships/hyperlink" Target="mailto:Andrew.Campio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7T15:48:01.74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cefb6ece8964c3a943aa73798a96817e">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cd6c1a1d42fa7e18ab3b540fce25066"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2FC898-B4E2-41FE-AA7E-B77BE6AB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9F784C-AD43-45AC-BA27-C8D40CCC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5970</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38398</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3</cp:revision>
  <cp:lastPrinted>2021-09-27T16:58:00Z</cp:lastPrinted>
  <dcterms:created xsi:type="dcterms:W3CDTF">2021-10-13T15:24:00Z</dcterms:created>
  <dcterms:modified xsi:type="dcterms:W3CDTF">2021-10-13T15:28:00Z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